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384" w14:textId="4E8892A2" w:rsidR="00A65227" w:rsidRDefault="00A65227" w:rsidP="00A65227">
      <w:pPr>
        <w:pStyle w:val="3GPPHeader"/>
        <w:spacing w:after="60"/>
        <w:rPr>
          <w:rFonts w:cs="Arial"/>
          <w:sz w:val="32"/>
          <w:szCs w:val="32"/>
          <w:highlight w:val="yellow"/>
        </w:rPr>
      </w:pPr>
      <w:r>
        <w:rPr>
          <w:rFonts w:cs="Arial"/>
        </w:rPr>
        <w:t>3GPP TSG-RAN WG2 #109</w:t>
      </w:r>
      <w:r w:rsidR="001E6C32">
        <w:rPr>
          <w:rFonts w:cs="Arial"/>
        </w:rPr>
        <w:t xml:space="preserve"> electronic</w:t>
      </w:r>
      <w:r>
        <w:rPr>
          <w:rFonts w:cs="Arial"/>
        </w:rPr>
        <w:tab/>
      </w:r>
      <w:r w:rsidRPr="00C8498F">
        <w:rPr>
          <w:rFonts w:cs="Arial"/>
          <w:sz w:val="32"/>
          <w:szCs w:val="32"/>
        </w:rPr>
        <w:t>R2-</w:t>
      </w:r>
      <w:r w:rsidR="006A0D88" w:rsidRPr="00C8498F">
        <w:rPr>
          <w:rFonts w:cs="Arial"/>
          <w:sz w:val="32"/>
          <w:szCs w:val="32"/>
        </w:rPr>
        <w:t xml:space="preserve"> 2000391</w:t>
      </w:r>
    </w:p>
    <w:p w14:paraId="491DB665" w14:textId="63222665" w:rsidR="00A65227" w:rsidRDefault="001E6C32" w:rsidP="00A65227">
      <w:pPr>
        <w:pStyle w:val="CRCoverPage"/>
        <w:outlineLvl w:val="0"/>
        <w:rPr>
          <w:b/>
          <w:sz w:val="24"/>
        </w:rPr>
      </w:pPr>
      <w:proofErr w:type="spellStart"/>
      <w:r>
        <w:rPr>
          <w:b/>
          <w:sz w:val="24"/>
        </w:rPr>
        <w:t>Elbonia</w:t>
      </w:r>
      <w:proofErr w:type="spellEnd"/>
      <w:r w:rsidR="00A65227">
        <w:rPr>
          <w:b/>
          <w:sz w:val="24"/>
        </w:rPr>
        <w:t>, 24</w:t>
      </w:r>
      <w:r w:rsidR="00A65227">
        <w:rPr>
          <w:b/>
          <w:sz w:val="24"/>
          <w:vertAlign w:val="superscript"/>
        </w:rPr>
        <w:t>th</w:t>
      </w:r>
      <w:r w:rsidR="00A65227">
        <w:rPr>
          <w:b/>
          <w:sz w:val="24"/>
        </w:rPr>
        <w:t xml:space="preserve"> </w:t>
      </w:r>
      <w:r>
        <w:rPr>
          <w:b/>
          <w:sz w:val="24"/>
        </w:rPr>
        <w:t xml:space="preserve">February </w:t>
      </w:r>
      <w:r w:rsidR="00A65227">
        <w:rPr>
          <w:b/>
          <w:sz w:val="24"/>
        </w:rPr>
        <w:t xml:space="preserve">– </w:t>
      </w:r>
      <w:r>
        <w:rPr>
          <w:b/>
          <w:sz w:val="24"/>
        </w:rPr>
        <w:t>6</w:t>
      </w:r>
      <w:r w:rsidR="00A65227">
        <w:rPr>
          <w:b/>
          <w:sz w:val="24"/>
          <w:vertAlign w:val="superscript"/>
        </w:rPr>
        <w:t>th</w:t>
      </w:r>
      <w:r w:rsidR="00A65227">
        <w:rPr>
          <w:b/>
          <w:sz w:val="24"/>
        </w:rPr>
        <w:t xml:space="preserve"> </w:t>
      </w:r>
      <w:r>
        <w:rPr>
          <w:b/>
          <w:sz w:val="24"/>
        </w:rPr>
        <w:t>March</w:t>
      </w:r>
      <w:r w:rsidR="00A65227">
        <w:rPr>
          <w:b/>
          <w:sz w:val="24"/>
        </w:rPr>
        <w:t xml:space="preserve"> 2020</w:t>
      </w:r>
    </w:p>
    <w:p w14:paraId="13EB198F" w14:textId="77777777" w:rsidR="00E90E49" w:rsidRPr="00CE0424" w:rsidRDefault="00E90E49" w:rsidP="00357380">
      <w:pPr>
        <w:pStyle w:val="3GPPHeader"/>
      </w:pPr>
    </w:p>
    <w:p w14:paraId="3D4046C3" w14:textId="71011AD0" w:rsidR="00E90E49" w:rsidRPr="00320BEA" w:rsidRDefault="00E90E49" w:rsidP="00311702">
      <w:pPr>
        <w:pStyle w:val="3GPPHeader"/>
        <w:rPr>
          <w:sz w:val="22"/>
          <w:szCs w:val="22"/>
          <w:lang w:val="en-US"/>
        </w:rPr>
      </w:pPr>
      <w:r w:rsidRPr="00320BEA">
        <w:rPr>
          <w:sz w:val="22"/>
          <w:szCs w:val="22"/>
          <w:lang w:val="en-US"/>
        </w:rPr>
        <w:t>Agenda Item:</w:t>
      </w:r>
      <w:r w:rsidRPr="00320BEA">
        <w:rPr>
          <w:sz w:val="22"/>
          <w:szCs w:val="22"/>
          <w:lang w:val="en-US"/>
        </w:rPr>
        <w:tab/>
      </w:r>
      <w:bookmarkStart w:id="0" w:name="_GoBack"/>
      <w:bookmarkEnd w:id="0"/>
      <w:r w:rsidR="00EB2222" w:rsidRPr="009D3C78">
        <w:rPr>
          <w:sz w:val="22"/>
          <w:lang w:val="en-US"/>
        </w:rPr>
        <w:t>6.13.2</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5ABC2153" w:rsidR="00E90E49" w:rsidRPr="00CE0424" w:rsidRDefault="003D3C45" w:rsidP="00311702">
      <w:pPr>
        <w:pStyle w:val="3GPPHeader"/>
        <w:rPr>
          <w:sz w:val="22"/>
          <w:szCs w:val="22"/>
        </w:rPr>
      </w:pPr>
      <w:r>
        <w:rPr>
          <w:sz w:val="22"/>
          <w:szCs w:val="22"/>
        </w:rPr>
        <w:t>Title:</w:t>
      </w:r>
      <w:r w:rsidR="00E90E49" w:rsidRPr="00CE0424">
        <w:rPr>
          <w:sz w:val="22"/>
          <w:szCs w:val="22"/>
        </w:rPr>
        <w:tab/>
      </w:r>
      <w:r w:rsidR="00314F65" w:rsidRPr="00C8498F">
        <w:rPr>
          <w:sz w:val="22"/>
          <w:szCs w:val="22"/>
        </w:rPr>
        <w:t>Use of 2-step resources on different BWPs</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0FE7A5D9" w14:textId="7E5755F9" w:rsidR="008D32D0" w:rsidRDefault="00FB3747" w:rsidP="008D32D0">
      <w:pPr>
        <w:pStyle w:val="BodyText"/>
      </w:pPr>
      <w:r>
        <w:t>In the 2-step RA procedure it is possible to transmit data in the PUSCH resource</w:t>
      </w:r>
      <w:r w:rsidR="009D03F0">
        <w:t xml:space="preserve"> when the UE is in </w:t>
      </w:r>
      <w:r w:rsidR="001A16B7">
        <w:t xml:space="preserve">RRC </w:t>
      </w:r>
      <w:r w:rsidR="009D03F0">
        <w:t>connected</w:t>
      </w:r>
      <w:r w:rsidR="001A16B7">
        <w:t xml:space="preserve"> mode</w:t>
      </w:r>
      <w:r w:rsidR="00B00DD7">
        <w:t>.</w:t>
      </w:r>
      <w:r w:rsidR="009D03F0">
        <w:t xml:space="preserve"> The amount of data that can be transmitted</w:t>
      </w:r>
      <w:r w:rsidR="00B45AD7">
        <w:t xml:space="preserve"> depends on the size of the PUSCH resource</w:t>
      </w:r>
      <w:r w:rsidR="006953FF">
        <w:t xml:space="preserve"> and the pathloss to the UE</w:t>
      </w:r>
      <w:r w:rsidR="00B45AD7">
        <w:t>.</w:t>
      </w:r>
      <w:r w:rsidR="002D1788">
        <w:t xml:space="preserve"> Since </w:t>
      </w:r>
      <w:r w:rsidR="00ED5E04">
        <w:t xml:space="preserve">configuration </w:t>
      </w:r>
      <w:r w:rsidR="00C8462D">
        <w:t xml:space="preserve">of </w:t>
      </w:r>
      <w:r w:rsidR="002D1788">
        <w:t>the PUSCH resource</w:t>
      </w:r>
      <w:r w:rsidR="00ED5E04">
        <w:t xml:space="preserve"> may lead to low utilization it is important that the configuration is tailored to meet the </w:t>
      </w:r>
      <w:r w:rsidR="00175B41">
        <w:t xml:space="preserve">needs of the system. In this contribution we suggest some easy adjustments that </w:t>
      </w:r>
      <w:r w:rsidR="00DC69BA">
        <w:t xml:space="preserve">would </w:t>
      </w:r>
      <w:r w:rsidR="00A17A68">
        <w:t xml:space="preserve">give essential benefits to the resource utilization </w:t>
      </w:r>
      <w:r w:rsidR="00C462D9">
        <w:t xml:space="preserve">and efficiency </w:t>
      </w:r>
      <w:r w:rsidR="00A17A68">
        <w:t>for</w:t>
      </w:r>
      <w:r w:rsidR="00C462D9">
        <w:t xml:space="preserve"> the</w:t>
      </w:r>
      <w:r w:rsidR="00A17A68">
        <w:t xml:space="preserve"> 2-step</w:t>
      </w:r>
      <w:r w:rsidR="00C462D9">
        <w:t xml:space="preserve"> RA procedure</w:t>
      </w:r>
      <w:r w:rsidR="00A17A68">
        <w:t>.</w:t>
      </w:r>
    </w:p>
    <w:p w14:paraId="44D21CB8" w14:textId="207F5329" w:rsidR="004000E8" w:rsidRDefault="00230D18" w:rsidP="00CE0424">
      <w:pPr>
        <w:pStyle w:val="Heading1"/>
      </w:pPr>
      <w:bookmarkStart w:id="1" w:name="_Ref178064866"/>
      <w:r>
        <w:t>2</w:t>
      </w:r>
      <w:r>
        <w:tab/>
      </w:r>
      <w:bookmarkEnd w:id="1"/>
      <w:r w:rsidR="00FB1C57">
        <w:t>Background</w:t>
      </w:r>
    </w:p>
    <w:p w14:paraId="33E3F062" w14:textId="778A3614" w:rsidR="00C625C4" w:rsidRDefault="00A17A68" w:rsidP="00C625C4">
      <w:pPr>
        <w:pStyle w:val="BodyText"/>
      </w:pPr>
      <w:r>
        <w:t>Current agreements</w:t>
      </w:r>
      <w:r w:rsidR="00A10BAD">
        <w:t xml:space="preserve"> make it possible to configure two sizes of PUSCH resources for UEs in Idle/inactive mode and two sizes for UEs in connected mode</w:t>
      </w:r>
      <w:r w:rsidR="00A85DE0">
        <w:t xml:space="preserve"> according to</w:t>
      </w:r>
      <w:r w:rsidR="00C625C4">
        <w:t xml:space="preserve"> the following agreement from RAN1#99:</w:t>
      </w:r>
    </w:p>
    <w:p w14:paraId="4A89A163" w14:textId="77777777" w:rsidR="00C625C4" w:rsidRPr="00A57104" w:rsidRDefault="00C625C4" w:rsidP="00C625C4">
      <w:pPr>
        <w:overflowPunct/>
        <w:autoSpaceDE/>
        <w:autoSpaceDN/>
        <w:adjustRightInd/>
        <w:spacing w:after="0"/>
        <w:ind w:left="720" w:hanging="720"/>
        <w:textAlignment w:val="auto"/>
        <w:rPr>
          <w:rFonts w:ascii="Times" w:eastAsia="Batang" w:hAnsi="Times"/>
          <w:lang w:eastAsia="x-none"/>
        </w:rPr>
      </w:pPr>
      <w:r w:rsidRPr="00A57104">
        <w:rPr>
          <w:rFonts w:ascii="Times" w:eastAsia="Batang" w:hAnsi="Times"/>
          <w:highlight w:val="green"/>
          <w:lang w:eastAsia="x-none"/>
        </w:rPr>
        <w:t>Agreements</w:t>
      </w:r>
      <w:r w:rsidRPr="00A57104">
        <w:rPr>
          <w:rFonts w:ascii="Times" w:eastAsia="Batang" w:hAnsi="Times"/>
          <w:lang w:eastAsia="x-none"/>
        </w:rPr>
        <w:t>:</w:t>
      </w:r>
    </w:p>
    <w:p w14:paraId="1D013F3D" w14:textId="77777777" w:rsidR="00C625C4" w:rsidRPr="00A57104" w:rsidRDefault="00C625C4" w:rsidP="00C625C4">
      <w:pPr>
        <w:numPr>
          <w:ilvl w:val="0"/>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 xml:space="preserve">For </w:t>
      </w:r>
      <w:r w:rsidRPr="00A57104">
        <w:rPr>
          <w:rFonts w:ascii="Times" w:eastAsia="SimSun" w:hAnsi="Times"/>
          <w:lang w:eastAsia="zh-CN"/>
        </w:rPr>
        <w:t>RRC_CONNECTED state</w:t>
      </w:r>
    </w:p>
    <w:p w14:paraId="53E3CCB1" w14:textId="77777777" w:rsidR="00C625C4" w:rsidRPr="00A57104" w:rsidRDefault="00C625C4" w:rsidP="00C625C4">
      <w:pPr>
        <w:numPr>
          <w:ilvl w:val="1"/>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hint="eastAsia"/>
          <w:lang w:eastAsia="x-none"/>
        </w:rPr>
        <w:t xml:space="preserve">Confirm the working assumption that </w:t>
      </w:r>
      <w:r w:rsidRPr="00A57104">
        <w:rPr>
          <w:rFonts w:ascii="Times" w:eastAsia="SimSun" w:hAnsi="Times"/>
          <w:lang w:eastAsia="zh-CN"/>
        </w:rPr>
        <w:t xml:space="preserve">the preamble </w:t>
      </w:r>
      <w:proofErr w:type="gramStart"/>
      <w:r w:rsidRPr="00A57104">
        <w:rPr>
          <w:rFonts w:ascii="Times" w:eastAsia="SimSun" w:hAnsi="Times"/>
          <w:lang w:eastAsia="zh-CN"/>
        </w:rPr>
        <w:t>group based</w:t>
      </w:r>
      <w:proofErr w:type="gramEnd"/>
      <w:r w:rsidRPr="00A57104">
        <w:rPr>
          <w:rFonts w:ascii="Times" w:eastAsia="SimSun" w:hAnsi="Times"/>
          <w:lang w:eastAsia="zh-CN"/>
        </w:rPr>
        <w:t xml:space="preserve"> method as defined for RRC_IDLE/INACTIVE state is reused for the indication of multiple configurations.</w:t>
      </w:r>
    </w:p>
    <w:p w14:paraId="653091B8" w14:textId="77777777" w:rsidR="00C625C4" w:rsidRPr="00A57104" w:rsidRDefault="00C625C4" w:rsidP="00C625C4">
      <w:pPr>
        <w:numPr>
          <w:ilvl w:val="1"/>
          <w:numId w:val="33"/>
        </w:numPr>
        <w:overflowPunct/>
        <w:autoSpaceDE/>
        <w:autoSpaceDN/>
        <w:adjustRightInd/>
        <w:spacing w:after="0"/>
        <w:contextualSpacing/>
        <w:textAlignment w:val="auto"/>
        <w:rPr>
          <w:rFonts w:ascii="Times" w:eastAsia="SimSun" w:hAnsi="Times"/>
          <w:lang w:eastAsia="x-none"/>
        </w:rPr>
      </w:pPr>
      <w:r w:rsidRPr="00A57104">
        <w:rPr>
          <w:rFonts w:ascii="Times" w:eastAsia="MS Mincho" w:hAnsi="Times"/>
          <w:lang w:eastAsia="zh-CN"/>
        </w:rPr>
        <w:t xml:space="preserve">The number of </w:t>
      </w:r>
      <w:proofErr w:type="spellStart"/>
      <w:r w:rsidRPr="00A57104">
        <w:rPr>
          <w:rFonts w:ascii="Times" w:eastAsia="MS Mincho" w:hAnsi="Times"/>
          <w:lang w:eastAsia="zh-CN"/>
        </w:rPr>
        <w:t>msgA</w:t>
      </w:r>
      <w:proofErr w:type="spellEnd"/>
      <w:r w:rsidRPr="00A57104">
        <w:rPr>
          <w:rFonts w:ascii="Times" w:eastAsia="MS Mincho" w:hAnsi="Times"/>
          <w:lang w:eastAsia="zh-CN"/>
        </w:rPr>
        <w:t xml:space="preserve"> PUSCH configuration(s) can be different from that in RRC RRC_IDLE/INACTIVE state.</w:t>
      </w:r>
    </w:p>
    <w:p w14:paraId="13531D82" w14:textId="77777777" w:rsidR="00C625C4" w:rsidRPr="00A57104" w:rsidRDefault="00C625C4" w:rsidP="00C625C4">
      <w:pPr>
        <w:numPr>
          <w:ilvl w:val="1"/>
          <w:numId w:val="33"/>
        </w:numPr>
        <w:overflowPunct/>
        <w:autoSpaceDE/>
        <w:autoSpaceDN/>
        <w:adjustRightInd/>
        <w:spacing w:after="0"/>
        <w:contextualSpacing/>
        <w:textAlignment w:val="auto"/>
        <w:rPr>
          <w:rFonts w:ascii="Times" w:eastAsia="SimSun" w:hAnsi="Times"/>
          <w:lang w:eastAsia="x-none"/>
        </w:rPr>
      </w:pPr>
      <w:r w:rsidRPr="00A57104">
        <w:rPr>
          <w:rFonts w:ascii="Times" w:eastAsia="MS Mincho" w:hAnsi="Times"/>
          <w:lang w:eastAsia="zh-CN"/>
        </w:rPr>
        <w:t xml:space="preserve">PRACH configuration(s) and </w:t>
      </w:r>
      <w:proofErr w:type="spellStart"/>
      <w:r w:rsidRPr="00A57104">
        <w:rPr>
          <w:rFonts w:ascii="Times" w:eastAsia="MS Mincho" w:hAnsi="Times"/>
          <w:lang w:eastAsia="zh-CN"/>
        </w:rPr>
        <w:t>msgA</w:t>
      </w:r>
      <w:proofErr w:type="spellEnd"/>
      <w:r w:rsidRPr="00A57104">
        <w:rPr>
          <w:rFonts w:ascii="Times" w:eastAsia="MS Mincho" w:hAnsi="Times"/>
          <w:lang w:eastAsia="zh-CN"/>
        </w:rPr>
        <w:t xml:space="preserve"> PUSCH configuration(s) are both cell specific and configured per BWP</w:t>
      </w:r>
    </w:p>
    <w:p w14:paraId="769FB9A6" w14:textId="77777777" w:rsidR="00C625C4" w:rsidRPr="00A57104" w:rsidRDefault="00C625C4" w:rsidP="00C625C4">
      <w:pPr>
        <w:numPr>
          <w:ilvl w:val="1"/>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 xml:space="preserve">The </w:t>
      </w:r>
      <w:r w:rsidRPr="00A57104">
        <w:rPr>
          <w:rFonts w:ascii="Times" w:eastAsia="SimSun" w:hAnsi="Times"/>
          <w:lang w:eastAsia="zh-CN"/>
        </w:rPr>
        <w:t xml:space="preserve">number of preamble groups for 2-step RACH should be aligned with the number of </w:t>
      </w:r>
      <w:proofErr w:type="spellStart"/>
      <w:r w:rsidRPr="00A57104">
        <w:rPr>
          <w:rFonts w:ascii="Times" w:eastAsia="SimSun" w:hAnsi="Times"/>
          <w:lang w:eastAsia="zh-CN"/>
        </w:rPr>
        <w:t>msgA</w:t>
      </w:r>
      <w:proofErr w:type="spellEnd"/>
      <w:r w:rsidRPr="00A57104">
        <w:rPr>
          <w:rFonts w:ascii="Times" w:eastAsia="SimSun" w:hAnsi="Times"/>
          <w:lang w:eastAsia="zh-CN"/>
        </w:rPr>
        <w:t xml:space="preserve"> PUSCH configurations in a BWP</w:t>
      </w:r>
    </w:p>
    <w:p w14:paraId="68A202B3" w14:textId="77777777" w:rsidR="00C625C4" w:rsidRPr="00A57104" w:rsidRDefault="00C625C4" w:rsidP="00C625C4">
      <w:pPr>
        <w:overflowPunct/>
        <w:autoSpaceDE/>
        <w:autoSpaceDN/>
        <w:adjustRightInd/>
        <w:spacing w:after="0"/>
        <w:ind w:left="720" w:hanging="720"/>
        <w:textAlignment w:val="auto"/>
        <w:rPr>
          <w:rFonts w:ascii="Times" w:eastAsia="SimSun" w:hAnsi="Times"/>
          <w:lang w:eastAsia="en-US"/>
        </w:rPr>
      </w:pPr>
    </w:p>
    <w:p w14:paraId="2A4E6E5C" w14:textId="77777777" w:rsidR="00C625C4" w:rsidRPr="00A57104" w:rsidRDefault="00C625C4" w:rsidP="00C625C4">
      <w:pPr>
        <w:numPr>
          <w:ilvl w:val="0"/>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zh-CN"/>
        </w:rPr>
        <w:t>I</w:t>
      </w:r>
      <w:r w:rsidRPr="00A57104">
        <w:rPr>
          <w:rFonts w:ascii="Times" w:eastAsia="MS Mincho" w:hAnsi="Times"/>
          <w:kern w:val="2"/>
          <w:lang w:eastAsia="x-none"/>
        </w:rPr>
        <w:t xml:space="preserve">f </w:t>
      </w:r>
      <w:r w:rsidRPr="00A57104">
        <w:rPr>
          <w:rFonts w:ascii="Times" w:eastAsia="Batang" w:hAnsi="Times" w:cs="Times"/>
          <w:lang w:eastAsia="x-none"/>
        </w:rPr>
        <w:t>the active UL BWP and the initial UL BWP have same SCS and same CP length and the active UL BWP includes all RBs of the initial UL BWP, or the active UL BWP is the initial UL BWP</w:t>
      </w:r>
      <w:r w:rsidRPr="00A57104">
        <w:rPr>
          <w:rFonts w:ascii="Times" w:eastAsia="SimSun" w:hAnsi="Times"/>
          <w:lang w:eastAsia="zh-CN"/>
        </w:rPr>
        <w:t xml:space="preserve">, </w:t>
      </w:r>
    </w:p>
    <w:p w14:paraId="1DEC9764" w14:textId="77777777" w:rsidR="00C625C4" w:rsidRPr="00A57104" w:rsidRDefault="00C625C4" w:rsidP="00C625C4">
      <w:pPr>
        <w:numPr>
          <w:ilvl w:val="1"/>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 xml:space="preserve">The preamble grouping and </w:t>
      </w:r>
      <w:proofErr w:type="spellStart"/>
      <w:r w:rsidRPr="00A57104">
        <w:rPr>
          <w:rFonts w:ascii="Times" w:eastAsia="SimSun" w:hAnsi="Times"/>
          <w:lang w:eastAsia="x-none"/>
        </w:rPr>
        <w:t>msgA</w:t>
      </w:r>
      <w:proofErr w:type="spellEnd"/>
      <w:r w:rsidRPr="00A57104">
        <w:rPr>
          <w:rFonts w:ascii="Times" w:eastAsia="SimSun" w:hAnsi="Times"/>
          <w:lang w:eastAsia="x-none"/>
        </w:rPr>
        <w:t xml:space="preserve"> PUSCH configurations are left to </w:t>
      </w:r>
      <w:proofErr w:type="spellStart"/>
      <w:r w:rsidRPr="00A57104">
        <w:rPr>
          <w:rFonts w:ascii="Times" w:eastAsia="SimSun" w:hAnsi="Times"/>
          <w:lang w:eastAsia="x-none"/>
        </w:rPr>
        <w:t>gNB</w:t>
      </w:r>
      <w:proofErr w:type="spellEnd"/>
      <w:r w:rsidRPr="00A57104">
        <w:rPr>
          <w:rFonts w:ascii="Times" w:eastAsia="SimSun" w:hAnsi="Times"/>
          <w:lang w:eastAsia="x-none"/>
        </w:rPr>
        <w:t xml:space="preserve"> implementation </w:t>
      </w:r>
    </w:p>
    <w:p w14:paraId="1878943F" w14:textId="77777777" w:rsidR="00C625C4" w:rsidRPr="00A57104" w:rsidRDefault="00C625C4" w:rsidP="00C625C4">
      <w:pPr>
        <w:numPr>
          <w:ilvl w:val="2"/>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Note: Preamble grouping is configured per UL BWP</w:t>
      </w:r>
    </w:p>
    <w:p w14:paraId="64DC0236" w14:textId="77777777" w:rsidR="00C625C4" w:rsidRPr="00A57104" w:rsidRDefault="00C625C4" w:rsidP="00C625C4">
      <w:pPr>
        <w:numPr>
          <w:ilvl w:val="2"/>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 xml:space="preserve">Note: for this overlapped UL BWP it could be up to 4 PUSCH configurations from </w:t>
      </w:r>
      <w:proofErr w:type="spellStart"/>
      <w:r w:rsidRPr="00A57104">
        <w:rPr>
          <w:rFonts w:ascii="Times" w:eastAsia="SimSun" w:hAnsi="Times"/>
          <w:lang w:eastAsia="x-none"/>
        </w:rPr>
        <w:t>gNB</w:t>
      </w:r>
      <w:proofErr w:type="spellEnd"/>
      <w:r w:rsidRPr="00A57104">
        <w:rPr>
          <w:rFonts w:ascii="Times" w:eastAsia="SimSun" w:hAnsi="Times"/>
          <w:lang w:eastAsia="x-none"/>
        </w:rPr>
        <w:t xml:space="preserve"> perspective</w:t>
      </w:r>
    </w:p>
    <w:p w14:paraId="674DBCD6" w14:textId="77777777" w:rsidR="00C625C4" w:rsidRPr="00A57104" w:rsidRDefault="00C625C4" w:rsidP="00C625C4">
      <w:pPr>
        <w:numPr>
          <w:ilvl w:val="2"/>
          <w:numId w:val="33"/>
        </w:numPr>
        <w:overflowPunct/>
        <w:autoSpaceDE/>
        <w:autoSpaceDN/>
        <w:adjustRightInd/>
        <w:spacing w:after="0"/>
        <w:contextualSpacing/>
        <w:textAlignment w:val="auto"/>
        <w:rPr>
          <w:rFonts w:ascii="Times" w:eastAsia="SimSun" w:hAnsi="Times"/>
          <w:lang w:eastAsia="x-none"/>
        </w:rPr>
      </w:pPr>
      <w:r w:rsidRPr="00A57104">
        <w:rPr>
          <w:rFonts w:ascii="Times" w:eastAsia="SimSun" w:hAnsi="Times"/>
          <w:lang w:eastAsia="x-none"/>
        </w:rPr>
        <w:t>Note: for this overlapped UL BWP it could be up to 2 PUSCH configurations from UE perspective</w:t>
      </w:r>
    </w:p>
    <w:p w14:paraId="2C525B2C" w14:textId="77777777" w:rsidR="00C625C4" w:rsidRPr="00A57104" w:rsidRDefault="00C625C4" w:rsidP="00C625C4">
      <w:pPr>
        <w:overflowPunct/>
        <w:autoSpaceDE/>
        <w:autoSpaceDN/>
        <w:adjustRightInd/>
        <w:spacing w:after="0"/>
        <w:ind w:left="720" w:hanging="720"/>
        <w:textAlignment w:val="auto"/>
        <w:rPr>
          <w:rFonts w:ascii="Times" w:eastAsia="Batang" w:hAnsi="Times"/>
          <w:szCs w:val="24"/>
          <w:lang w:eastAsia="x-none"/>
        </w:rPr>
      </w:pPr>
    </w:p>
    <w:p w14:paraId="0DC290F9" w14:textId="74737F29" w:rsidR="00B00DD7" w:rsidRDefault="00C80563" w:rsidP="00B00DD7">
      <w:pPr>
        <w:pStyle w:val="BodyText"/>
      </w:pPr>
      <w:r>
        <w:t xml:space="preserve">In idle mode, </w:t>
      </w:r>
      <w:r w:rsidR="00110859">
        <w:t xml:space="preserve">the </w:t>
      </w:r>
      <w:r w:rsidR="00FE4F24">
        <w:t xml:space="preserve">preamble </w:t>
      </w:r>
      <w:r>
        <w:t>group A size must be large enough to handle initial access</w:t>
      </w:r>
      <w:r w:rsidR="00C473B5">
        <w:t xml:space="preserve">, i.e. </w:t>
      </w:r>
      <w:r w:rsidR="00646CCB">
        <w:t>RRC Setup Request</w:t>
      </w:r>
      <w:r w:rsidR="00646CCB" w:rsidDel="00646CCB">
        <w:t xml:space="preserve"> </w:t>
      </w:r>
      <w:r w:rsidR="00646CCB">
        <w:t>message</w:t>
      </w:r>
      <w:r w:rsidR="00C473B5">
        <w:t xml:space="preserve">. Depending on UE id this size is either </w:t>
      </w:r>
      <w:r w:rsidR="00925717">
        <w:t xml:space="preserve">56 </w:t>
      </w:r>
      <w:r w:rsidR="002C4B07">
        <w:t xml:space="preserve">or 72 bits. The </w:t>
      </w:r>
      <w:r w:rsidR="006910A4">
        <w:t xml:space="preserve">preamble </w:t>
      </w:r>
      <w:r w:rsidR="002C4B07">
        <w:t>group</w:t>
      </w:r>
      <w:r w:rsidR="006910A4">
        <w:t xml:space="preserve"> </w:t>
      </w:r>
      <w:r w:rsidR="002C4B07">
        <w:t xml:space="preserve">B </w:t>
      </w:r>
      <w:r w:rsidR="006D6FEA">
        <w:t>can be used for larger messages</w:t>
      </w:r>
      <w:r w:rsidR="00990531">
        <w:t>.</w:t>
      </w:r>
      <w:r w:rsidR="006910A4">
        <w:t xml:space="preserve"> </w:t>
      </w:r>
      <w:r w:rsidR="003C7821">
        <w:t>I</w:t>
      </w:r>
      <w:r w:rsidR="006910A4">
        <w:t>n idle</w:t>
      </w:r>
      <w:r w:rsidR="009C1FC7">
        <w:t>/inactive</w:t>
      </w:r>
      <w:r w:rsidR="006910A4">
        <w:t xml:space="preserve"> mode</w:t>
      </w:r>
      <w:r w:rsidR="00967345">
        <w:t xml:space="preserve"> the</w:t>
      </w:r>
      <w:r w:rsidR="009C1FC7">
        <w:t xml:space="preserve"> use would primarily be to transmit the RRC Resume message</w:t>
      </w:r>
      <w:r w:rsidR="003C7821">
        <w:t xml:space="preserve"> which is slight</w:t>
      </w:r>
      <w:r w:rsidR="00947275">
        <w:t>l</w:t>
      </w:r>
      <w:r w:rsidR="003C7821">
        <w:t>y larger than the</w:t>
      </w:r>
      <w:r w:rsidR="00947275">
        <w:t xml:space="preserve"> </w:t>
      </w:r>
      <w:r w:rsidR="00646CCB">
        <w:t>RRC Setup Request</w:t>
      </w:r>
      <w:r w:rsidR="00EB4335">
        <w:t xml:space="preserve">. </w:t>
      </w:r>
    </w:p>
    <w:p w14:paraId="0B12C8BF" w14:textId="5807A4D1" w:rsidR="006D6FEA" w:rsidRPr="00CE0424" w:rsidRDefault="006D6FEA" w:rsidP="00B00DD7">
      <w:pPr>
        <w:pStyle w:val="BodyText"/>
      </w:pPr>
      <w:r>
        <w:t xml:space="preserve">In connected mode, </w:t>
      </w:r>
      <w:r w:rsidR="003C7549">
        <w:t xml:space="preserve">a possible use case for </w:t>
      </w:r>
      <w:bookmarkStart w:id="2" w:name="_Hlk31620835"/>
      <w:r w:rsidR="003C7549">
        <w:t xml:space="preserve">preamble </w:t>
      </w:r>
      <w:r w:rsidR="00F12E91">
        <w:t>group</w:t>
      </w:r>
      <w:r w:rsidR="003C7549">
        <w:t xml:space="preserve"> </w:t>
      </w:r>
      <w:r w:rsidR="00F12E91">
        <w:t xml:space="preserve">A </w:t>
      </w:r>
      <w:bookmarkEnd w:id="2"/>
      <w:r w:rsidR="003C7549">
        <w:t>is to</w:t>
      </w:r>
      <w:r w:rsidR="00F12E91">
        <w:t xml:space="preserve"> transmit </w:t>
      </w:r>
      <w:r w:rsidR="006E51E1">
        <w:t xml:space="preserve">a </w:t>
      </w:r>
      <w:r w:rsidR="00F12E91">
        <w:t xml:space="preserve">BSR and </w:t>
      </w:r>
      <w:r w:rsidR="006E51E1">
        <w:t xml:space="preserve">a </w:t>
      </w:r>
      <w:r w:rsidR="00F12E91">
        <w:t>C-RNTI MAC CE</w:t>
      </w:r>
      <w:r w:rsidR="00430CC5">
        <w:t xml:space="preserve"> and thereby be used as a complement to SR. Another possibility is for BFR, in which case only the</w:t>
      </w:r>
      <w:r w:rsidR="00FC44BF">
        <w:t xml:space="preserve"> C-RNTI MAC CE is needed. </w:t>
      </w:r>
      <w:r w:rsidR="00C8498F">
        <w:t>Also,</w:t>
      </w:r>
      <w:r w:rsidR="00E30161">
        <w:t xml:space="preserve"> in</w:t>
      </w:r>
      <w:r w:rsidR="002F6D58">
        <w:t xml:space="preserve"> the</w:t>
      </w:r>
      <w:r w:rsidR="00FC44BF">
        <w:t xml:space="preserve"> case </w:t>
      </w:r>
      <w:r w:rsidR="002F6D58">
        <w:t xml:space="preserve">when </w:t>
      </w:r>
      <w:r w:rsidR="00FC44BF">
        <w:t>it is used to obtain UL synch (DL data)</w:t>
      </w:r>
      <w:r w:rsidR="002E7EB1">
        <w:t>, only the C-RNTI MAC CE is needed.</w:t>
      </w:r>
      <w:r w:rsidR="00624B11">
        <w:t xml:space="preserve"> Hence, these use</w:t>
      </w:r>
      <w:r w:rsidR="00A356DA">
        <w:t xml:space="preserve"> </w:t>
      </w:r>
      <w:r w:rsidR="00624B11">
        <w:t xml:space="preserve">cases require only a small </w:t>
      </w:r>
      <w:r w:rsidR="005E245A">
        <w:t>PUSCH size</w:t>
      </w:r>
      <w:r w:rsidR="002F6D58">
        <w:t xml:space="preserve"> (24 bits)</w:t>
      </w:r>
      <w:r w:rsidR="005E245A">
        <w:t xml:space="preserve"> for </w:t>
      </w:r>
      <w:r w:rsidR="0045201B">
        <w:t>preamble group A</w:t>
      </w:r>
      <w:r w:rsidR="00624B11">
        <w:t xml:space="preserve">. If </w:t>
      </w:r>
      <w:r w:rsidR="0045201B">
        <w:t>preamble group B</w:t>
      </w:r>
      <w:r w:rsidR="00624B11">
        <w:t xml:space="preserve"> is used to also transmit data</w:t>
      </w:r>
      <w:r w:rsidR="006372F3">
        <w:t xml:space="preserve"> a larger size is needed.</w:t>
      </w:r>
      <w:r w:rsidR="00695827">
        <w:t xml:space="preserve"> However, the </w:t>
      </w:r>
      <w:r w:rsidR="00A74C05">
        <w:t xml:space="preserve">possibility </w:t>
      </w:r>
      <w:r w:rsidR="007D3998">
        <w:t xml:space="preserve">for a UE </w:t>
      </w:r>
      <w:r w:rsidR="00A74C05">
        <w:t>to use a certain</w:t>
      </w:r>
      <w:r w:rsidR="00695827">
        <w:t xml:space="preserve"> size will depend also on the pathloss to the UE so that if the UE has a good </w:t>
      </w:r>
      <w:r w:rsidR="00A80444">
        <w:t xml:space="preserve">channel, a larger </w:t>
      </w:r>
      <w:proofErr w:type="spellStart"/>
      <w:r w:rsidR="00811DA4">
        <w:t>msgA</w:t>
      </w:r>
      <w:proofErr w:type="spellEnd"/>
      <w:r w:rsidR="00811DA4">
        <w:t xml:space="preserve"> size can be used, while if </w:t>
      </w:r>
      <w:r w:rsidR="00E93985">
        <w:t xml:space="preserve">the pathloss is high, only a smaller </w:t>
      </w:r>
      <w:proofErr w:type="spellStart"/>
      <w:r w:rsidR="00E93985">
        <w:t>msgA</w:t>
      </w:r>
      <w:proofErr w:type="spellEnd"/>
      <w:r w:rsidR="00E93985">
        <w:t xml:space="preserve"> size can be used. Hence, how to configure an optimal </w:t>
      </w:r>
      <w:proofErr w:type="spellStart"/>
      <w:r w:rsidR="00E93985">
        <w:t>m</w:t>
      </w:r>
      <w:r w:rsidR="00A74C05">
        <w:t>s</w:t>
      </w:r>
      <w:r w:rsidR="00E93985">
        <w:t>gA</w:t>
      </w:r>
      <w:proofErr w:type="spellEnd"/>
      <w:r w:rsidR="00E93985">
        <w:t xml:space="preserve"> size</w:t>
      </w:r>
      <w:r w:rsidR="00A74C05">
        <w:t xml:space="preserve"> for </w:t>
      </w:r>
      <w:r w:rsidR="007D3998">
        <w:t>preamble group B</w:t>
      </w:r>
      <w:r w:rsidR="00014F9B">
        <w:t xml:space="preserve"> is difficult.</w:t>
      </w:r>
    </w:p>
    <w:p w14:paraId="7A6A2F33" w14:textId="64649F29" w:rsidR="004C00BE" w:rsidRDefault="00DE3DAF" w:rsidP="004C00BE">
      <w:pPr>
        <w:pStyle w:val="Heading1"/>
      </w:pPr>
      <w:r>
        <w:lastRenderedPageBreak/>
        <w:t>3</w:t>
      </w:r>
      <w:r>
        <w:tab/>
        <w:t>Discussion</w:t>
      </w:r>
    </w:p>
    <w:p w14:paraId="033AD2BF" w14:textId="75FB40B4" w:rsidR="00962075" w:rsidRPr="00962075" w:rsidRDefault="00962075" w:rsidP="00892364">
      <w:pPr>
        <w:pStyle w:val="Heading2"/>
      </w:pPr>
      <w:r>
        <w:t>3.1</w:t>
      </w:r>
      <w:r>
        <w:tab/>
      </w:r>
      <w:r w:rsidR="00D40B93">
        <w:t>General</w:t>
      </w:r>
    </w:p>
    <w:p w14:paraId="3B8BA7C1" w14:textId="3CEDBED0" w:rsidR="00763B08" w:rsidRDefault="00C12F05" w:rsidP="008E1FAF">
      <w:pPr>
        <w:pStyle w:val="BodyText"/>
      </w:pPr>
      <w:r>
        <w:t xml:space="preserve">The </w:t>
      </w:r>
      <w:r w:rsidR="004E0E1C">
        <w:t>current RAN1</w:t>
      </w:r>
      <w:r>
        <w:t xml:space="preserve"> agreements </w:t>
      </w:r>
      <w:r w:rsidR="00014F9B">
        <w:t>will prevent a UE in connected mode</w:t>
      </w:r>
      <w:r w:rsidR="00094037">
        <w:t xml:space="preserve"> to utilize the </w:t>
      </w:r>
      <w:r w:rsidR="00621ECC">
        <w:t xml:space="preserve">RA resources </w:t>
      </w:r>
      <w:r w:rsidR="00743B8C">
        <w:t xml:space="preserve">that </w:t>
      </w:r>
      <w:r w:rsidR="00621ECC">
        <w:t>are</w:t>
      </w:r>
      <w:r w:rsidR="00743B8C">
        <w:t xml:space="preserve"> configured for Idle/inactive UEs</w:t>
      </w:r>
      <w:r w:rsidR="006875BF">
        <w:t xml:space="preserve"> even if the </w:t>
      </w:r>
      <w:r w:rsidR="00621ECC">
        <w:t>active BWP of the connected UE overlap</w:t>
      </w:r>
      <w:r w:rsidR="006E51E1">
        <w:t>s</w:t>
      </w:r>
      <w:r w:rsidR="00621ECC">
        <w:t xml:space="preserve"> the</w:t>
      </w:r>
      <w:r w:rsidR="00326C70">
        <w:t xml:space="preserve"> PRACH and </w:t>
      </w:r>
      <w:proofErr w:type="spellStart"/>
      <w:r w:rsidR="00326C70">
        <w:t>msgA</w:t>
      </w:r>
      <w:proofErr w:type="spellEnd"/>
      <w:r w:rsidR="00326C70">
        <w:t xml:space="preserve"> PUSCH resources on </w:t>
      </w:r>
      <w:r w:rsidR="00501DBB">
        <w:t>the initial BWP.</w:t>
      </w:r>
      <w:r w:rsidR="003D3D23">
        <w:t xml:space="preserve"> This can be understood from </w:t>
      </w:r>
      <w:r w:rsidR="0091142C">
        <w:t>legacy BWP operation where RACH transmissions are only permitted in the active BWP</w:t>
      </w:r>
      <w:r w:rsidR="004F71BA">
        <w:t>.</w:t>
      </w:r>
      <w:r w:rsidR="00501DBB">
        <w:t xml:space="preserve"> This situation is depicted in </w:t>
      </w:r>
      <w:r w:rsidR="00501DBB">
        <w:fldChar w:fldCharType="begin"/>
      </w:r>
      <w:r w:rsidR="00501DBB">
        <w:instrText xml:space="preserve"> REF _Ref31198887 \h </w:instrText>
      </w:r>
      <w:r w:rsidR="00501DBB">
        <w:fldChar w:fldCharType="separate"/>
      </w:r>
      <w:r w:rsidR="00501DBB">
        <w:t xml:space="preserve">Figure </w:t>
      </w:r>
      <w:r w:rsidR="00501DBB">
        <w:rPr>
          <w:noProof/>
        </w:rPr>
        <w:t>1</w:t>
      </w:r>
      <w:r w:rsidR="00501DBB">
        <w:fldChar w:fldCharType="end"/>
      </w:r>
      <w:r w:rsidR="00B61175">
        <w:t>.</w:t>
      </w:r>
      <w:r w:rsidR="00501DBB">
        <w:t xml:space="preserve"> </w:t>
      </w:r>
    </w:p>
    <w:p w14:paraId="4B6937E3" w14:textId="27AB6191" w:rsidR="00501DBB" w:rsidRDefault="00BB2BD7" w:rsidP="008E1FAF">
      <w:pPr>
        <w:pStyle w:val="BodyText"/>
      </w:pPr>
      <w:r>
        <w:rPr>
          <w:noProof/>
        </w:rPr>
        <w:drawing>
          <wp:inline distT="0" distB="0" distL="0" distR="0" wp14:anchorId="4F519B3F" wp14:editId="49BFAE20">
            <wp:extent cx="6735600" cy="2934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35600" cy="2934000"/>
                    </a:xfrm>
                    <a:prstGeom prst="rect">
                      <a:avLst/>
                    </a:prstGeom>
                    <a:noFill/>
                  </pic:spPr>
                </pic:pic>
              </a:graphicData>
            </a:graphic>
          </wp:inline>
        </w:drawing>
      </w:r>
    </w:p>
    <w:p w14:paraId="5EABBB97" w14:textId="447A0F7E" w:rsidR="00501DBB" w:rsidRDefault="00501DBB" w:rsidP="00C8498F">
      <w:pPr>
        <w:pStyle w:val="Caption"/>
        <w:jc w:val="center"/>
      </w:pPr>
      <w:bookmarkStart w:id="3" w:name="_Ref31198887"/>
      <w:r>
        <w:t xml:space="preserve">Figure </w:t>
      </w:r>
      <w:r w:rsidR="009D3C78">
        <w:fldChar w:fldCharType="begin"/>
      </w:r>
      <w:r w:rsidR="009D3C78">
        <w:instrText xml:space="preserve"> SEQ Figure \* ARABIC </w:instrText>
      </w:r>
      <w:r w:rsidR="009D3C78">
        <w:fldChar w:fldCharType="separate"/>
      </w:r>
      <w:r w:rsidR="00511411">
        <w:rPr>
          <w:noProof/>
        </w:rPr>
        <w:t>1</w:t>
      </w:r>
      <w:r w:rsidR="009D3C78">
        <w:rPr>
          <w:noProof/>
        </w:rPr>
        <w:fldChar w:fldCharType="end"/>
      </w:r>
      <w:bookmarkEnd w:id="3"/>
      <w:r w:rsidR="00F6516D">
        <w:t xml:space="preserve">. </w:t>
      </w:r>
      <w:r w:rsidR="005E0F20">
        <w:t xml:space="preserve">Illustration of </w:t>
      </w:r>
      <w:r w:rsidR="00786424">
        <w:t>RA configurations on initial BWP and overlapping active BWP</w:t>
      </w:r>
      <w:r w:rsidR="005E0F20">
        <w:t xml:space="preserve"> 1</w:t>
      </w:r>
      <w:r w:rsidR="00786424">
        <w:t>.</w:t>
      </w:r>
    </w:p>
    <w:p w14:paraId="72DAB928" w14:textId="7D2CF812" w:rsidR="00D75A5B" w:rsidRPr="00A047D1" w:rsidRDefault="004E4642" w:rsidP="00D75A5B">
      <w:pPr>
        <w:pStyle w:val="BodyText"/>
      </w:pPr>
      <w:r>
        <w:t xml:space="preserve">In the example </w:t>
      </w:r>
      <w:r w:rsidR="00170D39">
        <w:t xml:space="preserve">above, idle UEs will use the </w:t>
      </w:r>
      <w:r w:rsidR="006E7F43">
        <w:t>configuration on the initial BWP</w:t>
      </w:r>
      <w:r w:rsidR="007D3998">
        <w:t xml:space="preserve"> (lower part of </w:t>
      </w:r>
      <w:r w:rsidR="006E51E1">
        <w:fldChar w:fldCharType="begin"/>
      </w:r>
      <w:r w:rsidR="006E51E1">
        <w:instrText xml:space="preserve"> REF _Ref31198887 \h </w:instrText>
      </w:r>
      <w:r w:rsidR="006E51E1">
        <w:fldChar w:fldCharType="separate"/>
      </w:r>
      <w:r w:rsidR="006E51E1">
        <w:t xml:space="preserve">Figure </w:t>
      </w:r>
      <w:r w:rsidR="006E51E1">
        <w:rPr>
          <w:noProof/>
        </w:rPr>
        <w:t>1</w:t>
      </w:r>
      <w:r w:rsidR="006E51E1">
        <w:fldChar w:fldCharType="end"/>
      </w:r>
      <w:r w:rsidR="007D3998">
        <w:t>)</w:t>
      </w:r>
      <w:r w:rsidR="006E7F43">
        <w:t xml:space="preserve"> and connected UEs are restricted to the </w:t>
      </w:r>
      <w:r w:rsidR="00B95EB0">
        <w:t xml:space="preserve">configured resources on the </w:t>
      </w:r>
      <w:r w:rsidR="00B170AC">
        <w:t xml:space="preserve">active BWP (upper part </w:t>
      </w:r>
      <w:r w:rsidR="00B95EB0">
        <w:t xml:space="preserve">of </w:t>
      </w:r>
      <w:r w:rsidR="006E51E1">
        <w:fldChar w:fldCharType="begin"/>
      </w:r>
      <w:r w:rsidR="006E51E1">
        <w:instrText xml:space="preserve"> REF _Ref31198887 \h </w:instrText>
      </w:r>
      <w:r w:rsidR="006E51E1">
        <w:fldChar w:fldCharType="separate"/>
      </w:r>
      <w:r w:rsidR="006E51E1">
        <w:t xml:space="preserve">Figure </w:t>
      </w:r>
      <w:r w:rsidR="006E51E1">
        <w:rPr>
          <w:noProof/>
        </w:rPr>
        <w:t>1</w:t>
      </w:r>
      <w:r w:rsidR="006E51E1">
        <w:fldChar w:fldCharType="end"/>
      </w:r>
      <w:r w:rsidR="00B170AC">
        <w:t>)</w:t>
      </w:r>
      <w:r w:rsidR="00B95EB0">
        <w:t>.</w:t>
      </w:r>
      <w:r w:rsidR="006640B9">
        <w:t xml:space="preserve"> For the connected UEs</w:t>
      </w:r>
      <w:r w:rsidR="000013A3">
        <w:t>,</w:t>
      </w:r>
      <w:r w:rsidR="00EE789C">
        <w:t xml:space="preserve"> the </w:t>
      </w:r>
      <w:r w:rsidR="003D695B">
        <w:t xml:space="preserve">RA </w:t>
      </w:r>
      <w:r w:rsidR="00EE789C">
        <w:t>resources on the initial BWP</w:t>
      </w:r>
      <w:r w:rsidR="00543F53">
        <w:t xml:space="preserve"> </w:t>
      </w:r>
      <w:r w:rsidR="003D695B">
        <w:t>are wasted since they cannot be used</w:t>
      </w:r>
      <w:r w:rsidR="00640A4D">
        <w:t>. For the</w:t>
      </w:r>
      <w:r w:rsidR="00743B8C">
        <w:t xml:space="preserve"> vast majority of </w:t>
      </w:r>
      <w:r w:rsidR="00F72A21">
        <w:t>idle/inactive UEs</w:t>
      </w:r>
      <w:r w:rsidR="00640A4D">
        <w:t xml:space="preserve">, the situation may </w:t>
      </w:r>
      <w:r w:rsidR="009D718B">
        <w:t>very well be such that they will only use preamble group A, i.e. the minimum allocation</w:t>
      </w:r>
      <w:r w:rsidR="00F72A21">
        <w:t xml:space="preserve"> </w:t>
      </w:r>
      <w:r w:rsidR="009D718B">
        <w:t xml:space="preserve">of </w:t>
      </w:r>
      <w:r w:rsidR="00F72A21">
        <w:t xml:space="preserve">the </w:t>
      </w:r>
      <w:proofErr w:type="spellStart"/>
      <w:r w:rsidR="00F72A21">
        <w:t>m</w:t>
      </w:r>
      <w:r w:rsidR="00A10178">
        <w:t>s</w:t>
      </w:r>
      <w:r w:rsidR="00F72A21">
        <w:t>gA</w:t>
      </w:r>
      <w:proofErr w:type="spellEnd"/>
      <w:r w:rsidR="00F72A21">
        <w:t xml:space="preserve"> </w:t>
      </w:r>
      <w:r w:rsidR="009D718B">
        <w:t>size</w:t>
      </w:r>
      <w:r w:rsidR="00080085">
        <w:t xml:space="preserve"> which is sufficient for initial access</w:t>
      </w:r>
      <w:r w:rsidR="009D718B">
        <w:t>.</w:t>
      </w:r>
      <w:r w:rsidR="00607755">
        <w:t xml:space="preserve"> If a </w:t>
      </w:r>
      <w:r w:rsidR="0086221E">
        <w:t>preamble group</w:t>
      </w:r>
      <w:r w:rsidR="00D675A0">
        <w:t xml:space="preserve"> </w:t>
      </w:r>
      <w:r w:rsidR="0086221E">
        <w:t>B is configured</w:t>
      </w:r>
      <w:r w:rsidR="00177E05">
        <w:t xml:space="preserve">, it can be that </w:t>
      </w:r>
      <w:r w:rsidR="0086221E">
        <w:t>it</w:t>
      </w:r>
      <w:r w:rsidR="00A10178">
        <w:t xml:space="preserve"> is hardly used at all</w:t>
      </w:r>
      <w:r w:rsidR="00D12272">
        <w:t>, implying t</w:t>
      </w:r>
      <w:r w:rsidR="00244DD9">
        <w:t>hat</w:t>
      </w:r>
      <w:r w:rsidR="00D12272">
        <w:t xml:space="preserve"> </w:t>
      </w:r>
      <w:r w:rsidR="00244DD9">
        <w:t xml:space="preserve">resources are </w:t>
      </w:r>
      <w:r w:rsidR="00D12272">
        <w:t>wasted</w:t>
      </w:r>
      <w:r w:rsidR="00442AA1">
        <w:t xml:space="preserve"> also for the idle/inactive UEs</w:t>
      </w:r>
      <w:r w:rsidR="00A10178">
        <w:t>.</w:t>
      </w:r>
      <w:r w:rsidR="00244DD9">
        <w:t xml:space="preserve"> </w:t>
      </w:r>
    </w:p>
    <w:p w14:paraId="4BFE3A8D" w14:textId="1A205CF9" w:rsidR="00D75A5B" w:rsidRDefault="00D75A5B" w:rsidP="00D75A5B">
      <w:pPr>
        <w:pStyle w:val="Observation"/>
      </w:pPr>
      <w:bookmarkStart w:id="4" w:name="_Toc31978686"/>
      <w:r>
        <w:t xml:space="preserve">The utilization of </w:t>
      </w:r>
      <w:r w:rsidR="00D675A0">
        <w:t>preamble group B</w:t>
      </w:r>
      <w:r>
        <w:t xml:space="preserve"> for idle UEs can be expected to be low.</w:t>
      </w:r>
      <w:bookmarkEnd w:id="4"/>
    </w:p>
    <w:p w14:paraId="0CD3C76A" w14:textId="77777777" w:rsidR="00D75A5B" w:rsidRDefault="00D75A5B" w:rsidP="008E1FAF">
      <w:pPr>
        <w:pStyle w:val="BodyText"/>
      </w:pPr>
    </w:p>
    <w:p w14:paraId="64B9A3F0" w14:textId="3E590979" w:rsidR="00A10178" w:rsidRDefault="00664F88" w:rsidP="00813A89">
      <w:pPr>
        <w:pStyle w:val="BodyText"/>
      </w:pPr>
      <w:r>
        <w:t>For the</w:t>
      </w:r>
      <w:r w:rsidR="002265DA">
        <w:t xml:space="preserve"> connected UEs </w:t>
      </w:r>
      <w:r>
        <w:t xml:space="preserve">the need for flexible </w:t>
      </w:r>
      <w:proofErr w:type="spellStart"/>
      <w:r>
        <w:t>msgA</w:t>
      </w:r>
      <w:proofErr w:type="spellEnd"/>
      <w:r>
        <w:t xml:space="preserve"> size </w:t>
      </w:r>
      <w:r w:rsidR="007159C5">
        <w:t xml:space="preserve">is higher due to the possible use cases. </w:t>
      </w:r>
      <w:r w:rsidR="0031669E">
        <w:t>As noted above</w:t>
      </w:r>
      <w:r w:rsidR="007159C5">
        <w:t xml:space="preserve">, </w:t>
      </w:r>
      <w:r w:rsidR="00CD058B">
        <w:t xml:space="preserve">using the 2-step </w:t>
      </w:r>
      <w:r w:rsidR="003F2007">
        <w:t xml:space="preserve">procedure </w:t>
      </w:r>
      <w:r w:rsidR="001C0017">
        <w:t xml:space="preserve">can be done to </w:t>
      </w:r>
      <w:r w:rsidR="00CD058B">
        <w:t xml:space="preserve">transmit a </w:t>
      </w:r>
      <w:r w:rsidR="00061D8F">
        <w:t>C-RNTI MAC CE and a BSR</w:t>
      </w:r>
      <w:r w:rsidR="001C0017">
        <w:t xml:space="preserve"> when no SR resources are configured and the UE has new UL data</w:t>
      </w:r>
      <w:r w:rsidR="00B51659">
        <w:t xml:space="preserve">, </w:t>
      </w:r>
      <w:r w:rsidR="001C0017">
        <w:t xml:space="preserve"> for </w:t>
      </w:r>
      <w:proofErr w:type="spellStart"/>
      <w:r w:rsidR="00C765E0">
        <w:t>SCells</w:t>
      </w:r>
      <w:proofErr w:type="spellEnd"/>
      <w:r w:rsidR="00C765E0">
        <w:t xml:space="preserve">/PDCP duplication </w:t>
      </w:r>
      <w:r w:rsidR="000D0AD8">
        <w:t xml:space="preserve">using the </w:t>
      </w:r>
      <w:r w:rsidR="00C765E0">
        <w:t>activation/deactivation MAC CE</w:t>
      </w:r>
      <w:r w:rsidR="003070BA">
        <w:t xml:space="preserve">, or </w:t>
      </w:r>
      <w:r w:rsidR="00C07BB0">
        <w:t>it</w:t>
      </w:r>
      <w:r w:rsidR="00F43456">
        <w:t xml:space="preserve"> can </w:t>
      </w:r>
      <w:r w:rsidR="007D7969">
        <w:t>b</w:t>
      </w:r>
      <w:r w:rsidR="00F43456">
        <w:t xml:space="preserve">e done to regain </w:t>
      </w:r>
      <w:r w:rsidR="00076965">
        <w:t xml:space="preserve">UL </w:t>
      </w:r>
      <w:r w:rsidR="00F43456">
        <w:t xml:space="preserve">synch </w:t>
      </w:r>
      <w:r w:rsidR="00076965">
        <w:t xml:space="preserve">or for BFR. These use cases will </w:t>
      </w:r>
      <w:r w:rsidR="00C07BB0">
        <w:t xml:space="preserve">all </w:t>
      </w:r>
      <w:r w:rsidR="00076965">
        <w:t xml:space="preserve">only need a very small </w:t>
      </w:r>
      <w:proofErr w:type="spellStart"/>
      <w:r w:rsidR="00076965">
        <w:t>m</w:t>
      </w:r>
      <w:r w:rsidR="00B42B12">
        <w:t>sgA</w:t>
      </w:r>
      <w:proofErr w:type="spellEnd"/>
      <w:r w:rsidR="00B42B12">
        <w:t>. Another use case is when the UE also wants to transmit data</w:t>
      </w:r>
      <w:r w:rsidR="00004696">
        <w:t xml:space="preserve"> in </w:t>
      </w:r>
      <w:proofErr w:type="spellStart"/>
      <w:r w:rsidR="00004696">
        <w:t>msgA</w:t>
      </w:r>
      <w:proofErr w:type="spellEnd"/>
      <w:r w:rsidR="00004696">
        <w:t xml:space="preserve">. </w:t>
      </w:r>
      <w:r w:rsidR="00514524">
        <w:t>In this case</w:t>
      </w:r>
      <w:r w:rsidR="00763033">
        <w:t xml:space="preserve"> the optimal size of </w:t>
      </w:r>
      <w:proofErr w:type="spellStart"/>
      <w:r w:rsidR="00763033">
        <w:t>msgA</w:t>
      </w:r>
      <w:proofErr w:type="spellEnd"/>
      <w:r w:rsidR="00763033">
        <w:t xml:space="preserve"> PUSCH depends on the amount of data the UE ha</w:t>
      </w:r>
      <w:r w:rsidR="00865082">
        <w:t>ve</w:t>
      </w:r>
      <w:r w:rsidR="00763033">
        <w:t xml:space="preserve"> to transm</w:t>
      </w:r>
      <w:r w:rsidR="00987F06">
        <w:t xml:space="preserve">it and the pathloss to the UE. Since this is different for different UEs, </w:t>
      </w:r>
      <w:r w:rsidR="00A35AFC">
        <w:t>it is advantageous to allow</w:t>
      </w:r>
      <w:r w:rsidR="00FF4F1F">
        <w:t xml:space="preserve"> for</w:t>
      </w:r>
      <w:r w:rsidR="00A35AFC">
        <w:t xml:space="preserve"> more </w:t>
      </w:r>
      <w:r w:rsidR="00E820C1">
        <w:t>sizes. One way to do this would be to allow the connected UEs</w:t>
      </w:r>
      <w:r w:rsidR="00860A4F">
        <w:t xml:space="preserve"> to also use the preamble group B </w:t>
      </w:r>
      <w:r w:rsidR="0066423F">
        <w:t xml:space="preserve">configured </w:t>
      </w:r>
      <w:r w:rsidR="00860A4F">
        <w:t>for idle UEs</w:t>
      </w:r>
      <w:r w:rsidR="00E47255">
        <w:t xml:space="preserve"> in case the active BWP overlaps the initial BWP.</w:t>
      </w:r>
      <w:r w:rsidR="00D50FAD">
        <w:t xml:space="preserve"> In this case</w:t>
      </w:r>
      <w:r w:rsidR="00813A89">
        <w:t xml:space="preserve"> a possible configuration could be</w:t>
      </w:r>
      <w:r w:rsidR="008D03B1">
        <w:t xml:space="preserve"> that</w:t>
      </w:r>
      <w:r w:rsidR="008D3BBC">
        <w:t xml:space="preserve"> the </w:t>
      </w:r>
      <w:proofErr w:type="spellStart"/>
      <w:r w:rsidR="008D3BBC">
        <w:t>msgA</w:t>
      </w:r>
      <w:proofErr w:type="spellEnd"/>
      <w:r w:rsidR="008D3BBC">
        <w:t xml:space="preserve"> size</w:t>
      </w:r>
      <w:r w:rsidR="0039744D">
        <w:t xml:space="preserve"> for </w:t>
      </w:r>
      <w:r w:rsidR="0066423F">
        <w:t xml:space="preserve">preamble group A </w:t>
      </w:r>
      <w:r w:rsidR="0039744D">
        <w:t xml:space="preserve">in </w:t>
      </w:r>
      <w:r w:rsidR="003E77F5">
        <w:t>the active BWP</w:t>
      </w:r>
      <w:r w:rsidR="0039744D">
        <w:t xml:space="preserve"> is set to e</w:t>
      </w:r>
      <w:r w:rsidR="009D06E2">
        <w:t>.</w:t>
      </w:r>
      <w:r w:rsidR="0039744D">
        <w:t xml:space="preserve">g. </w:t>
      </w:r>
      <w:r w:rsidR="00D14073">
        <w:t>24</w:t>
      </w:r>
      <w:r w:rsidR="0039744D">
        <w:t>bits</w:t>
      </w:r>
      <w:r w:rsidR="00D14073">
        <w:t xml:space="preserve"> (enough for C-RNTI MAC CE and short BSR)</w:t>
      </w:r>
      <w:r w:rsidR="009D06E2">
        <w:t xml:space="preserve">, the size of </w:t>
      </w:r>
      <w:r w:rsidR="00936F40">
        <w:t>preamble group B</w:t>
      </w:r>
      <w:r w:rsidR="009D06E2">
        <w:t xml:space="preserve"> </w:t>
      </w:r>
      <w:proofErr w:type="spellStart"/>
      <w:r w:rsidR="009D06E2">
        <w:t>msgA</w:t>
      </w:r>
      <w:proofErr w:type="spellEnd"/>
      <w:r w:rsidR="002425E1">
        <w:t xml:space="preserve"> for </w:t>
      </w:r>
      <w:r w:rsidR="00A951BE">
        <w:t xml:space="preserve">the active BWP </w:t>
      </w:r>
      <w:r w:rsidR="002425E1">
        <w:t>could be set</w:t>
      </w:r>
      <w:r w:rsidR="00766A25">
        <w:t xml:space="preserve"> rather high</w:t>
      </w:r>
      <w:r w:rsidR="00A60D71">
        <w:t>,</w:t>
      </w:r>
      <w:r w:rsidR="002425E1">
        <w:t xml:space="preserve"> e.g. </w:t>
      </w:r>
      <w:r w:rsidR="00C62B55">
        <w:t>80</w:t>
      </w:r>
      <w:r w:rsidR="002425E1">
        <w:t>0 bits</w:t>
      </w:r>
      <w:r w:rsidR="00C62B55">
        <w:t>, to handle large</w:t>
      </w:r>
      <w:r w:rsidR="009A1D19">
        <w:t>r data transmissions for UEs with low pathloss</w:t>
      </w:r>
      <w:r w:rsidR="002425E1">
        <w:t xml:space="preserve">. </w:t>
      </w:r>
      <w:r w:rsidR="009A1D19">
        <w:t xml:space="preserve">In addition to this, the </w:t>
      </w:r>
      <w:proofErr w:type="spellStart"/>
      <w:r w:rsidR="00B10212">
        <w:t>msgA</w:t>
      </w:r>
      <w:proofErr w:type="spellEnd"/>
      <w:r w:rsidR="00B10212">
        <w:t xml:space="preserve"> size for </w:t>
      </w:r>
      <w:r w:rsidR="00936F40">
        <w:t>preamble group B</w:t>
      </w:r>
      <w:r w:rsidR="00B07411">
        <w:t xml:space="preserve"> for </w:t>
      </w:r>
      <w:r w:rsidR="00A951BE">
        <w:t>the initial BWP</w:t>
      </w:r>
      <w:r w:rsidR="00B07411">
        <w:t xml:space="preserve"> </w:t>
      </w:r>
      <w:r w:rsidR="00B10212">
        <w:t xml:space="preserve">could be set to </w:t>
      </w:r>
      <w:r w:rsidR="00C0760F">
        <w:t xml:space="preserve">200 bits to handle </w:t>
      </w:r>
      <w:r w:rsidR="00A60D71">
        <w:t xml:space="preserve">connected </w:t>
      </w:r>
      <w:r w:rsidR="00C0760F">
        <w:t xml:space="preserve">UEs with higher pathloss. </w:t>
      </w:r>
      <w:r w:rsidR="00B07411">
        <w:t>This would give a possibility for 3 preamble groups for connected UEs</w:t>
      </w:r>
      <w:r w:rsidR="00781C7A">
        <w:t>.</w:t>
      </w:r>
      <w:r w:rsidR="00853456">
        <w:t xml:space="preserve"> </w:t>
      </w:r>
      <w:r w:rsidR="00A94E3D">
        <w:t xml:space="preserve">This would increase the </w:t>
      </w:r>
      <w:r w:rsidR="009E4A2A">
        <w:t>efficiency of data transmission using the 2-step RA procedure</w:t>
      </w:r>
      <w:r w:rsidR="000604DD">
        <w:t xml:space="preserve"> while </w:t>
      </w:r>
      <w:r w:rsidR="00955A68">
        <w:t xml:space="preserve">also having an efficient </w:t>
      </w:r>
      <w:proofErr w:type="spellStart"/>
      <w:r w:rsidR="00955A68">
        <w:t>msgA</w:t>
      </w:r>
      <w:proofErr w:type="spellEnd"/>
      <w:r w:rsidR="00955A68">
        <w:t xml:space="preserve"> size for the common small</w:t>
      </w:r>
      <w:r w:rsidR="00AB7977">
        <w:t xml:space="preserve"> transmissions in connected mode</w:t>
      </w:r>
      <w:r w:rsidR="009E4A2A">
        <w:t>.</w:t>
      </w:r>
    </w:p>
    <w:p w14:paraId="6901AB00" w14:textId="23B385A3" w:rsidR="00781C7A" w:rsidRDefault="00F95F1D" w:rsidP="00813A89">
      <w:pPr>
        <w:pStyle w:val="BodyText"/>
      </w:pPr>
      <w:r>
        <w:lastRenderedPageBreak/>
        <w:t>The criteria that must be fulfilled</w:t>
      </w:r>
      <w:r w:rsidR="005523EA">
        <w:t xml:space="preserve"> to allow a connected UE to </w:t>
      </w:r>
      <w:r>
        <w:t xml:space="preserve">use the configuration on the initial BWP </w:t>
      </w:r>
      <w:r w:rsidR="005523EA">
        <w:t>is that</w:t>
      </w:r>
      <w:r w:rsidR="00446BFF">
        <w:t xml:space="preserve"> the active BWP overlaps</w:t>
      </w:r>
      <w:r>
        <w:t xml:space="preserve"> with the </w:t>
      </w:r>
      <w:r w:rsidR="00B10218">
        <w:t>2-step resources on the initial</w:t>
      </w:r>
      <w:r>
        <w:t xml:space="preserve"> BWP.</w:t>
      </w:r>
      <w:r w:rsidR="00446BFF">
        <w:t xml:space="preserve"> Since the connected UE will send it</w:t>
      </w:r>
      <w:r w:rsidR="002E035A">
        <w:t xml:space="preserve">s C-RNTI MAC CE in </w:t>
      </w:r>
      <w:proofErr w:type="spellStart"/>
      <w:r w:rsidR="002E035A">
        <w:t>msgA</w:t>
      </w:r>
      <w:proofErr w:type="spellEnd"/>
      <w:r w:rsidR="002E035A">
        <w:t xml:space="preserve">, the </w:t>
      </w:r>
      <w:proofErr w:type="spellStart"/>
      <w:r w:rsidR="002E035A">
        <w:t>gNB</w:t>
      </w:r>
      <w:proofErr w:type="spellEnd"/>
      <w:r w:rsidR="002E035A">
        <w:t xml:space="preserve"> knows the active BWP of the UE and can send</w:t>
      </w:r>
      <w:r w:rsidR="00031C9F">
        <w:t xml:space="preserve"> PDCCH for</w:t>
      </w:r>
      <w:r w:rsidR="002E035A">
        <w:t xml:space="preserve"> </w:t>
      </w:r>
      <w:proofErr w:type="spellStart"/>
      <w:r w:rsidR="00B95210">
        <w:t>msgB</w:t>
      </w:r>
      <w:proofErr w:type="spellEnd"/>
      <w:r w:rsidR="00B95210">
        <w:t xml:space="preserve"> according to </w:t>
      </w:r>
      <w:r w:rsidR="00A74B83">
        <w:t xml:space="preserve">the </w:t>
      </w:r>
      <w:r w:rsidR="00B95210">
        <w:t>configured search space on the active BWP.</w:t>
      </w:r>
    </w:p>
    <w:p w14:paraId="15FBBBFC" w14:textId="6D111ADE" w:rsidR="002E62A6" w:rsidRDefault="002E62A6" w:rsidP="002E62A6">
      <w:pPr>
        <w:pStyle w:val="Observation"/>
      </w:pPr>
      <w:bookmarkStart w:id="5" w:name="_Toc31978687"/>
      <w:r>
        <w:t>The active BWP of a</w:t>
      </w:r>
      <w:r w:rsidR="00B60D13">
        <w:t xml:space="preserve"> connected</w:t>
      </w:r>
      <w:r>
        <w:t xml:space="preserve"> UE</w:t>
      </w:r>
      <w:r w:rsidR="00B60D13">
        <w:t xml:space="preserve"> transmitting </w:t>
      </w:r>
      <w:proofErr w:type="spellStart"/>
      <w:r w:rsidR="00B60D13">
        <w:t>msgA</w:t>
      </w:r>
      <w:proofErr w:type="spellEnd"/>
      <w:r w:rsidR="00B60D13">
        <w:t xml:space="preserve"> on an inactive BWP</w:t>
      </w:r>
      <w:r w:rsidR="009D5D53">
        <w:t xml:space="preserve"> would be known by the </w:t>
      </w:r>
      <w:proofErr w:type="spellStart"/>
      <w:r w:rsidR="009D5D53">
        <w:t>gNB</w:t>
      </w:r>
      <w:proofErr w:type="spellEnd"/>
      <w:r>
        <w:t>.</w:t>
      </w:r>
      <w:bookmarkEnd w:id="5"/>
    </w:p>
    <w:p w14:paraId="060E9D85" w14:textId="77777777" w:rsidR="002E62A6" w:rsidRDefault="002E62A6" w:rsidP="00813A89">
      <w:pPr>
        <w:pStyle w:val="BodyText"/>
      </w:pPr>
    </w:p>
    <w:p w14:paraId="0BA1AAC5" w14:textId="1023CF4F" w:rsidR="009B1D03" w:rsidRDefault="009B1D03" w:rsidP="00813A89">
      <w:pPr>
        <w:pStyle w:val="BodyText"/>
      </w:pPr>
      <w:r>
        <w:t>Another</w:t>
      </w:r>
      <w:r w:rsidR="00A743DF">
        <w:t xml:space="preserve"> </w:t>
      </w:r>
      <w:r>
        <w:t>possible</w:t>
      </w:r>
      <w:r w:rsidR="001E7CAE">
        <w:t xml:space="preserve"> and useful</w:t>
      </w:r>
      <w:r>
        <w:t xml:space="preserve"> configuration </w:t>
      </w:r>
      <w:r w:rsidR="005910B3">
        <w:t xml:space="preserve">for the use case of transmitting BSR </w:t>
      </w:r>
      <w:r w:rsidR="002B3C38">
        <w:t xml:space="preserve">using the 2-step procedure </w:t>
      </w:r>
      <w:r>
        <w:t xml:space="preserve">would be to </w:t>
      </w:r>
      <w:r w:rsidR="00A743DF">
        <w:t>have a</w:t>
      </w:r>
      <w:r w:rsidR="00936667">
        <w:t xml:space="preserve"> dense</w:t>
      </w:r>
      <w:r w:rsidR="00A743DF">
        <w:t xml:space="preserve"> </w:t>
      </w:r>
      <w:r w:rsidR="005B0782">
        <w:t>2-step</w:t>
      </w:r>
      <w:r w:rsidR="00A743DF">
        <w:t xml:space="preserve"> configuration </w:t>
      </w:r>
      <w:r w:rsidR="00936667">
        <w:t>with only</w:t>
      </w:r>
      <w:r w:rsidR="00CB4E63">
        <w:t xml:space="preserve"> preamble group A with</w:t>
      </w:r>
      <w:r w:rsidR="00936667">
        <w:t xml:space="preserve"> small</w:t>
      </w:r>
      <w:r w:rsidR="00E16559">
        <w:t xml:space="preserve"> </w:t>
      </w:r>
      <w:proofErr w:type="spellStart"/>
      <w:r w:rsidR="00E16559">
        <w:t>msgA</w:t>
      </w:r>
      <w:proofErr w:type="spellEnd"/>
      <w:r w:rsidR="00936667">
        <w:t xml:space="preserve"> </w:t>
      </w:r>
      <w:r w:rsidR="00CB4E63">
        <w:t>PUSCH size</w:t>
      </w:r>
      <w:r w:rsidR="00303B93">
        <w:t xml:space="preserve"> in the active BWP. This would </w:t>
      </w:r>
      <w:r w:rsidR="0083364E">
        <w:t>enable to not configure UEs with SR resources since they could use the</w:t>
      </w:r>
      <w:r w:rsidR="00190FCE">
        <w:t xml:space="preserve"> 2-step procedure instead. However</w:t>
      </w:r>
      <w:r w:rsidR="00647140">
        <w:t>,</w:t>
      </w:r>
      <w:r w:rsidR="00190FCE">
        <w:t xml:space="preserve"> having a dense PRACH</w:t>
      </w:r>
      <w:r w:rsidR="009D201F">
        <w:t xml:space="preserve"> and </w:t>
      </w:r>
      <w:proofErr w:type="spellStart"/>
      <w:r w:rsidR="009D201F">
        <w:t>msgA</w:t>
      </w:r>
      <w:proofErr w:type="spellEnd"/>
      <w:r w:rsidR="009D201F">
        <w:t xml:space="preserve"> PUSCH</w:t>
      </w:r>
      <w:r w:rsidR="00190FCE">
        <w:t xml:space="preserve"> configuration with also preamble group B</w:t>
      </w:r>
      <w:r w:rsidR="00BA73ED">
        <w:t xml:space="preserve"> would be very costly resource wise. </w:t>
      </w:r>
      <w:r w:rsidR="00AD73EA">
        <w:t xml:space="preserve">In case a UE would need a larger </w:t>
      </w:r>
      <w:proofErr w:type="spellStart"/>
      <w:r w:rsidR="00AD73EA">
        <w:t>msgA</w:t>
      </w:r>
      <w:proofErr w:type="spellEnd"/>
      <w:r w:rsidR="00AD73EA">
        <w:t xml:space="preserve"> size, it could with the current proposal util</w:t>
      </w:r>
      <w:r w:rsidR="005910B3">
        <w:t>i</w:t>
      </w:r>
      <w:r w:rsidR="00AD73EA">
        <w:t xml:space="preserve">ze the </w:t>
      </w:r>
      <w:r w:rsidR="000D4C16">
        <w:t>preamble group B on the initial BWP.</w:t>
      </w:r>
      <w:r w:rsidR="00511411">
        <w:t xml:space="preserve"> This situation is illustrated in </w:t>
      </w:r>
      <w:r w:rsidR="00511411">
        <w:fldChar w:fldCharType="begin"/>
      </w:r>
      <w:r w:rsidR="00511411">
        <w:instrText xml:space="preserve"> REF _Ref31372219 \h </w:instrText>
      </w:r>
      <w:r w:rsidR="00511411">
        <w:fldChar w:fldCharType="separate"/>
      </w:r>
      <w:r w:rsidR="00511411">
        <w:t xml:space="preserve">Figure </w:t>
      </w:r>
      <w:r w:rsidR="00511411">
        <w:rPr>
          <w:noProof/>
        </w:rPr>
        <w:t>2</w:t>
      </w:r>
      <w:r w:rsidR="00511411">
        <w:fldChar w:fldCharType="end"/>
      </w:r>
    </w:p>
    <w:p w14:paraId="2250E349" w14:textId="327A2C46" w:rsidR="00511411" w:rsidRDefault="00A12718" w:rsidP="00813A89">
      <w:pPr>
        <w:pStyle w:val="BodyText"/>
      </w:pPr>
      <w:r>
        <w:rPr>
          <w:noProof/>
        </w:rPr>
        <w:drawing>
          <wp:inline distT="0" distB="0" distL="0" distR="0" wp14:anchorId="08EE78BC" wp14:editId="11C4B12A">
            <wp:extent cx="6735600" cy="2937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35600" cy="2937600"/>
                    </a:xfrm>
                    <a:prstGeom prst="rect">
                      <a:avLst/>
                    </a:prstGeom>
                    <a:noFill/>
                  </pic:spPr>
                </pic:pic>
              </a:graphicData>
            </a:graphic>
          </wp:inline>
        </w:drawing>
      </w:r>
    </w:p>
    <w:p w14:paraId="7DE03A1A" w14:textId="4359A4B4" w:rsidR="00511411" w:rsidRDefault="00511411" w:rsidP="00C8498F">
      <w:pPr>
        <w:pStyle w:val="Caption"/>
        <w:jc w:val="center"/>
      </w:pPr>
      <w:bookmarkStart w:id="6" w:name="_Ref31372219"/>
      <w:r>
        <w:t xml:space="preserve">Figure </w:t>
      </w:r>
      <w:r w:rsidR="009D3C78">
        <w:fldChar w:fldCharType="begin"/>
      </w:r>
      <w:r w:rsidR="009D3C78">
        <w:instrText xml:space="preserve"> SEQ Figure \* ARABIC </w:instrText>
      </w:r>
      <w:r w:rsidR="009D3C78">
        <w:fldChar w:fldCharType="separate"/>
      </w:r>
      <w:r>
        <w:rPr>
          <w:noProof/>
        </w:rPr>
        <w:t>2</w:t>
      </w:r>
      <w:r w:rsidR="009D3C78">
        <w:rPr>
          <w:noProof/>
        </w:rPr>
        <w:fldChar w:fldCharType="end"/>
      </w:r>
      <w:bookmarkEnd w:id="6"/>
      <w:r w:rsidR="004A79CD">
        <w:t xml:space="preserve">. Denser 2-step </w:t>
      </w:r>
      <w:r w:rsidR="005208C0">
        <w:t>resources in active BWP for fast transmissions.</w:t>
      </w:r>
    </w:p>
    <w:p w14:paraId="0C7F47B3" w14:textId="24A03D95" w:rsidR="004C2ABE" w:rsidRDefault="004C2ABE" w:rsidP="008E1FAF">
      <w:pPr>
        <w:pStyle w:val="BodyText"/>
      </w:pPr>
      <w:r>
        <w:t>The possib</w:t>
      </w:r>
      <w:r w:rsidR="0060601C">
        <w:t xml:space="preserve">ility for connected UEs to use </w:t>
      </w:r>
      <w:r w:rsidR="005910B3">
        <w:t xml:space="preserve">preamble group B </w:t>
      </w:r>
      <w:r w:rsidR="006E61F4">
        <w:t>on the</w:t>
      </w:r>
      <w:r w:rsidR="005208C0">
        <w:t xml:space="preserve"> 2-step</w:t>
      </w:r>
      <w:r w:rsidR="006C58A1">
        <w:t xml:space="preserve"> resources</w:t>
      </w:r>
      <w:r w:rsidR="006E61F4">
        <w:t xml:space="preserve"> configured for Idle UEs on the initial BWP</w:t>
      </w:r>
      <w:r w:rsidR="00FF4F77">
        <w:t xml:space="preserve"> would require that the UE</w:t>
      </w:r>
      <w:r w:rsidR="007D4F0B">
        <w:t xml:space="preserve"> stores the configuration</w:t>
      </w:r>
      <w:r w:rsidR="00AB7977">
        <w:t xml:space="preserve"> on the initial BWP</w:t>
      </w:r>
      <w:r w:rsidR="005C113D">
        <w:t>. However, this imposes no new requirements since the</w:t>
      </w:r>
      <w:r w:rsidR="00934D29">
        <w:t xml:space="preserve"> UE anyway needs to do this since it may fallback to this BWP, e.g. due to that the</w:t>
      </w:r>
      <w:r w:rsidR="007F5FD2" w:rsidRPr="00C8498F">
        <w:t xml:space="preserve"> </w:t>
      </w:r>
      <w:proofErr w:type="spellStart"/>
      <w:r w:rsidR="007F5FD2" w:rsidRPr="00C8498F">
        <w:t>bwp-InactivityTimer</w:t>
      </w:r>
      <w:proofErr w:type="spellEnd"/>
      <w:r w:rsidR="007F5FD2" w:rsidRPr="00C8498F">
        <w:t xml:space="preserve"> expires.</w:t>
      </w:r>
      <w:r w:rsidR="007F320F">
        <w:t xml:space="preserve"> </w:t>
      </w:r>
    </w:p>
    <w:p w14:paraId="6BAC0139" w14:textId="1959A5E3" w:rsidR="00C12F05" w:rsidRDefault="00C12F05" w:rsidP="008E1FAF">
      <w:pPr>
        <w:pStyle w:val="BodyText"/>
      </w:pPr>
    </w:p>
    <w:p w14:paraId="5999EC83" w14:textId="0C23B9C4" w:rsidR="0067013B" w:rsidRDefault="00BD48F1" w:rsidP="00260419">
      <w:pPr>
        <w:pStyle w:val="Observation"/>
      </w:pPr>
      <w:bookmarkStart w:id="7" w:name="_Toc31620880"/>
      <w:bookmarkStart w:id="8" w:name="_Toc31978688"/>
      <w:bookmarkStart w:id="9" w:name="_Toc31978689"/>
      <w:bookmarkEnd w:id="7"/>
      <w:bookmarkEnd w:id="8"/>
      <w:r>
        <w:t xml:space="preserve">Allowing connected UEs to also use </w:t>
      </w:r>
      <w:r w:rsidR="005910B3">
        <w:t>preamble group B</w:t>
      </w:r>
      <w:r w:rsidR="00334C1C">
        <w:t xml:space="preserve"> configured</w:t>
      </w:r>
      <w:r>
        <w:t xml:space="preserve"> </w:t>
      </w:r>
      <w:r w:rsidR="00334C1C">
        <w:t xml:space="preserve">for idle/inactive UEs would increase </w:t>
      </w:r>
      <w:r w:rsidR="00040311">
        <w:t>resource utilization and efficiency</w:t>
      </w:r>
      <w:r w:rsidR="0067013B">
        <w:t>.</w:t>
      </w:r>
      <w:bookmarkEnd w:id="9"/>
    </w:p>
    <w:p w14:paraId="15905673" w14:textId="5CBC806B" w:rsidR="00962075" w:rsidRDefault="00040311" w:rsidP="008E1FAF">
      <w:pPr>
        <w:pStyle w:val="Proposal"/>
      </w:pPr>
      <w:bookmarkStart w:id="10" w:name="_Toc32436037"/>
      <w:r>
        <w:t xml:space="preserve">Allow connected UEs to also use </w:t>
      </w:r>
      <w:r w:rsidR="005910B3">
        <w:t>preamble group B</w:t>
      </w:r>
      <w:r>
        <w:t xml:space="preserve"> configured for idle/inactive UEs</w:t>
      </w:r>
      <w:r w:rsidR="00F04AB6">
        <w:t xml:space="preserve"> if the active BWP overlaps the </w:t>
      </w:r>
      <w:r w:rsidR="0086417B">
        <w:t xml:space="preserve">2-step </w:t>
      </w:r>
      <w:r w:rsidR="00F04AB6">
        <w:t>resources on the initial BWP</w:t>
      </w:r>
      <w:r w:rsidR="00962075">
        <w:t>.</w:t>
      </w:r>
      <w:bookmarkEnd w:id="10"/>
      <w:r w:rsidR="00962075">
        <w:t xml:space="preserve"> </w:t>
      </w:r>
    </w:p>
    <w:p w14:paraId="1016C4FC" w14:textId="77777777" w:rsidR="00C01F33" w:rsidRPr="00CE0424" w:rsidRDefault="00EC4447" w:rsidP="00CE0424">
      <w:pPr>
        <w:pStyle w:val="Heading1"/>
      </w:pPr>
      <w:r>
        <w:t>4</w:t>
      </w:r>
      <w:r>
        <w:tab/>
      </w:r>
      <w:r w:rsidR="00C01F33" w:rsidRPr="00CE0424">
        <w:t>Conclusion</w:t>
      </w:r>
    </w:p>
    <w:p w14:paraId="548FB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7DA0D2" w14:textId="77777777" w:rsidR="00556C5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1978686" w:history="1">
        <w:r w:rsidR="00556C50" w:rsidRPr="00282C31">
          <w:rPr>
            <w:rStyle w:val="Hyperlink"/>
            <w:noProof/>
          </w:rPr>
          <w:t>Observation 1</w:t>
        </w:r>
        <w:r w:rsidR="00556C50">
          <w:rPr>
            <w:rFonts w:asciiTheme="minorHAnsi" w:eastAsiaTheme="minorEastAsia" w:hAnsiTheme="minorHAnsi" w:cstheme="minorBidi"/>
            <w:b w:val="0"/>
            <w:noProof/>
            <w:sz w:val="22"/>
            <w:szCs w:val="22"/>
            <w:lang w:val="sv-SE" w:eastAsia="sv-SE"/>
          </w:rPr>
          <w:tab/>
        </w:r>
        <w:r w:rsidR="00556C50" w:rsidRPr="00282C31">
          <w:rPr>
            <w:rStyle w:val="Hyperlink"/>
            <w:noProof/>
          </w:rPr>
          <w:t>The utilization of preamble group B for idle UEs can be expected to be low.</w:t>
        </w:r>
      </w:hyperlink>
    </w:p>
    <w:p w14:paraId="0E8F688A" w14:textId="77777777" w:rsidR="00556C50" w:rsidRDefault="009D3C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978687" w:history="1">
        <w:r w:rsidR="00556C50" w:rsidRPr="00282C31">
          <w:rPr>
            <w:rStyle w:val="Hyperlink"/>
            <w:noProof/>
          </w:rPr>
          <w:t>Observation 2</w:t>
        </w:r>
        <w:r w:rsidR="00556C50">
          <w:rPr>
            <w:rFonts w:asciiTheme="minorHAnsi" w:eastAsiaTheme="minorEastAsia" w:hAnsiTheme="minorHAnsi" w:cstheme="minorBidi"/>
            <w:b w:val="0"/>
            <w:noProof/>
            <w:sz w:val="22"/>
            <w:szCs w:val="22"/>
            <w:lang w:val="sv-SE" w:eastAsia="sv-SE"/>
          </w:rPr>
          <w:tab/>
        </w:r>
        <w:r w:rsidR="00556C50" w:rsidRPr="00282C31">
          <w:rPr>
            <w:rStyle w:val="Hyperlink"/>
            <w:noProof/>
          </w:rPr>
          <w:t>The active BWP of a connected UE transmitting msgA on an inactive BWP would be known by the gNB.</w:t>
        </w:r>
      </w:hyperlink>
    </w:p>
    <w:p w14:paraId="2EAA3E37" w14:textId="77777777" w:rsidR="00556C50" w:rsidRDefault="009D3C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978689" w:history="1">
        <w:r w:rsidR="00556C50" w:rsidRPr="00282C31">
          <w:rPr>
            <w:rStyle w:val="Hyperlink"/>
            <w:noProof/>
          </w:rPr>
          <w:t>Observation 3</w:t>
        </w:r>
        <w:r w:rsidR="00556C50">
          <w:rPr>
            <w:rFonts w:asciiTheme="minorHAnsi" w:eastAsiaTheme="minorEastAsia" w:hAnsiTheme="minorHAnsi" w:cstheme="minorBidi"/>
            <w:b w:val="0"/>
            <w:noProof/>
            <w:sz w:val="22"/>
            <w:szCs w:val="22"/>
            <w:lang w:val="sv-SE" w:eastAsia="sv-SE"/>
          </w:rPr>
          <w:tab/>
        </w:r>
        <w:r w:rsidR="00556C50" w:rsidRPr="00282C31">
          <w:rPr>
            <w:rStyle w:val="Hyperlink"/>
            <w:noProof/>
          </w:rPr>
          <w:t>Allowing connected UEs to also use preamble group B configured for idle/inactive UEs would increase resource utilization and efficiency.</w:t>
        </w:r>
      </w:hyperlink>
    </w:p>
    <w:p w14:paraId="3D86E3FA" w14:textId="40664AC6" w:rsidR="008B490C" w:rsidRDefault="006F6582" w:rsidP="006E1C82">
      <w:pPr>
        <w:pStyle w:val="BodyText"/>
        <w:rPr>
          <w:b/>
          <w:bCs/>
        </w:rPr>
      </w:pPr>
      <w:r>
        <w:rPr>
          <w:b/>
          <w:bCs/>
        </w:rPr>
        <w:fldChar w:fldCharType="end"/>
      </w:r>
    </w:p>
    <w:p w14:paraId="30685D14" w14:textId="6CA97F55"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0B1C726D" w14:textId="77777777" w:rsidR="002D4065"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36037" w:history="1">
        <w:r w:rsidR="002D4065" w:rsidRPr="007605AE">
          <w:rPr>
            <w:rStyle w:val="Hyperlink"/>
            <w:noProof/>
          </w:rPr>
          <w:t>Proposal 1</w:t>
        </w:r>
        <w:r w:rsidR="002D4065">
          <w:rPr>
            <w:rFonts w:asciiTheme="minorHAnsi" w:eastAsiaTheme="minorEastAsia" w:hAnsiTheme="minorHAnsi" w:cstheme="minorBidi"/>
            <w:b w:val="0"/>
            <w:noProof/>
            <w:sz w:val="22"/>
            <w:szCs w:val="22"/>
            <w:lang w:val="sv-SE"/>
          </w:rPr>
          <w:tab/>
        </w:r>
        <w:r w:rsidR="002D4065" w:rsidRPr="007605AE">
          <w:rPr>
            <w:rStyle w:val="Hyperlink"/>
            <w:noProof/>
          </w:rPr>
          <w:t>Allow connected UEs to also use preamble group B configured for idle/inactive UEs if the active BWP overlaps the 2-step resources on the initial BWP.</w:t>
        </w:r>
      </w:hyperlink>
    </w:p>
    <w:p w14:paraId="62942DF2" w14:textId="67BD8036" w:rsidR="00C01F33" w:rsidRPr="00CE0424" w:rsidRDefault="006E1C82" w:rsidP="00AA3484">
      <w:pPr>
        <w:pStyle w:val="TableofFigures"/>
        <w:tabs>
          <w:tab w:val="right" w:leader="dot" w:pos="9629"/>
        </w:tabs>
      </w:pPr>
      <w:r>
        <w:rPr>
          <w:b w:val="0"/>
          <w:bCs/>
          <w:lang w:val="en-US"/>
        </w:rPr>
        <w:fldChar w:fldCharType="end"/>
      </w:r>
    </w:p>
    <w:p w14:paraId="6DEB1AC7" w14:textId="77777777" w:rsidR="00DE3DAF" w:rsidRPr="00CE0424" w:rsidRDefault="00DE3DAF" w:rsidP="00C8498F">
      <w:pPr>
        <w:pStyle w:val="BodyText"/>
        <w:ind w:left="568" w:hanging="284"/>
      </w:pPr>
      <w:bookmarkStart w:id="11" w:name="_In-sequence_SDU_delivery"/>
      <w:bookmarkEnd w:id="11"/>
    </w:p>
    <w:sectPr w:rsidR="00DE3DAF" w:rsidRPr="00CE0424" w:rsidSect="00C8498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4434" w14:textId="77777777" w:rsidR="00905CE8" w:rsidRDefault="00905CE8">
      <w:r>
        <w:separator/>
      </w:r>
    </w:p>
  </w:endnote>
  <w:endnote w:type="continuationSeparator" w:id="0">
    <w:p w14:paraId="31F23422" w14:textId="77777777" w:rsidR="00905CE8" w:rsidRDefault="00905CE8">
      <w:r>
        <w:continuationSeparator/>
      </w:r>
    </w:p>
  </w:endnote>
  <w:endnote w:type="continuationNotice" w:id="1">
    <w:p w14:paraId="6CA11827" w14:textId="77777777" w:rsidR="00905CE8" w:rsidRDefault="00905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2060" w14:textId="77777777" w:rsidR="00905CE8" w:rsidRDefault="00905C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EA818" w14:textId="77777777" w:rsidR="00905CE8" w:rsidRDefault="00905CE8">
      <w:r>
        <w:separator/>
      </w:r>
    </w:p>
  </w:footnote>
  <w:footnote w:type="continuationSeparator" w:id="0">
    <w:p w14:paraId="585BC77A" w14:textId="77777777" w:rsidR="00905CE8" w:rsidRDefault="00905CE8">
      <w:r>
        <w:continuationSeparator/>
      </w:r>
    </w:p>
  </w:footnote>
  <w:footnote w:type="continuationNotice" w:id="1">
    <w:p w14:paraId="303A6620" w14:textId="77777777" w:rsidR="00905CE8" w:rsidRDefault="00905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8459" w14:textId="77777777" w:rsidR="00905CE8" w:rsidRDefault="00905C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10"/>
  </w:num>
  <w:num w:numId="19">
    <w:abstractNumId w:val="5"/>
  </w:num>
  <w:num w:numId="20">
    <w:abstractNumId w:val="30"/>
  </w:num>
  <w:num w:numId="21">
    <w:abstractNumId w:val="15"/>
  </w:num>
  <w:num w:numId="22">
    <w:abstractNumId w:val="29"/>
  </w:num>
  <w:num w:numId="23">
    <w:abstractNumId w:val="4"/>
  </w:num>
  <w:num w:numId="24">
    <w:abstractNumId w:val="6"/>
  </w:num>
  <w:num w:numId="25">
    <w:abstractNumId w:val="22"/>
  </w:num>
  <w:num w:numId="26">
    <w:abstractNumId w:val="9"/>
  </w:num>
  <w:num w:numId="27">
    <w:abstractNumId w:val="16"/>
  </w:num>
  <w:num w:numId="28">
    <w:abstractNumId w:val="27"/>
  </w:num>
  <w:num w:numId="29">
    <w:abstractNumId w:val="7"/>
  </w:num>
  <w:num w:numId="30">
    <w:abstractNumId w:val="31"/>
  </w:num>
  <w:num w:numId="31">
    <w:abstractNumId w:val="32"/>
  </w:num>
  <w:num w:numId="32">
    <w:abstractNumId w:val="28"/>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13A3"/>
    <w:rsid w:val="00002A37"/>
    <w:rsid w:val="00004696"/>
    <w:rsid w:val="0000564C"/>
    <w:rsid w:val="00006446"/>
    <w:rsid w:val="00006896"/>
    <w:rsid w:val="00007CDC"/>
    <w:rsid w:val="00011B28"/>
    <w:rsid w:val="00014F9B"/>
    <w:rsid w:val="00015D15"/>
    <w:rsid w:val="00016820"/>
    <w:rsid w:val="0002564D"/>
    <w:rsid w:val="00025ECA"/>
    <w:rsid w:val="00031C9F"/>
    <w:rsid w:val="000325B8"/>
    <w:rsid w:val="00034C15"/>
    <w:rsid w:val="00036BA1"/>
    <w:rsid w:val="00040311"/>
    <w:rsid w:val="000422E2"/>
    <w:rsid w:val="00042F22"/>
    <w:rsid w:val="000444EF"/>
    <w:rsid w:val="00052A07"/>
    <w:rsid w:val="000534E3"/>
    <w:rsid w:val="0005606A"/>
    <w:rsid w:val="00057117"/>
    <w:rsid w:val="000604DD"/>
    <w:rsid w:val="000616E7"/>
    <w:rsid w:val="00061D8F"/>
    <w:rsid w:val="0006487E"/>
    <w:rsid w:val="00065E1A"/>
    <w:rsid w:val="000677CF"/>
    <w:rsid w:val="000703CD"/>
    <w:rsid w:val="00076965"/>
    <w:rsid w:val="00077E5F"/>
    <w:rsid w:val="00080085"/>
    <w:rsid w:val="0008036A"/>
    <w:rsid w:val="00081AE6"/>
    <w:rsid w:val="000855EB"/>
    <w:rsid w:val="00085825"/>
    <w:rsid w:val="00085B52"/>
    <w:rsid w:val="000866F2"/>
    <w:rsid w:val="0009009F"/>
    <w:rsid w:val="00091557"/>
    <w:rsid w:val="000924C1"/>
    <w:rsid w:val="000924F0"/>
    <w:rsid w:val="00093474"/>
    <w:rsid w:val="00093901"/>
    <w:rsid w:val="00093C15"/>
    <w:rsid w:val="00094037"/>
    <w:rsid w:val="0009510F"/>
    <w:rsid w:val="000A1B7B"/>
    <w:rsid w:val="000A56F2"/>
    <w:rsid w:val="000B2719"/>
    <w:rsid w:val="000B3A8F"/>
    <w:rsid w:val="000B4AB9"/>
    <w:rsid w:val="000B58C3"/>
    <w:rsid w:val="000B61E9"/>
    <w:rsid w:val="000C165A"/>
    <w:rsid w:val="000C2622"/>
    <w:rsid w:val="000C2E19"/>
    <w:rsid w:val="000C57DD"/>
    <w:rsid w:val="000C7358"/>
    <w:rsid w:val="000D0AD8"/>
    <w:rsid w:val="000D0D07"/>
    <w:rsid w:val="000D29FC"/>
    <w:rsid w:val="000D4797"/>
    <w:rsid w:val="000D4C16"/>
    <w:rsid w:val="000E0527"/>
    <w:rsid w:val="000E1E92"/>
    <w:rsid w:val="000F06D6"/>
    <w:rsid w:val="000F0EB1"/>
    <w:rsid w:val="000F1106"/>
    <w:rsid w:val="000F2FC2"/>
    <w:rsid w:val="000F3BE9"/>
    <w:rsid w:val="000F3F6C"/>
    <w:rsid w:val="000F6DF3"/>
    <w:rsid w:val="001005FF"/>
    <w:rsid w:val="00104539"/>
    <w:rsid w:val="001062FB"/>
    <w:rsid w:val="001063E6"/>
    <w:rsid w:val="00110859"/>
    <w:rsid w:val="00113CF4"/>
    <w:rsid w:val="001153EA"/>
    <w:rsid w:val="00115643"/>
    <w:rsid w:val="00116765"/>
    <w:rsid w:val="001219F5"/>
    <w:rsid w:val="00121A20"/>
    <w:rsid w:val="0012377F"/>
    <w:rsid w:val="00124314"/>
    <w:rsid w:val="00126758"/>
    <w:rsid w:val="00126B4A"/>
    <w:rsid w:val="00131CF9"/>
    <w:rsid w:val="00132FD0"/>
    <w:rsid w:val="001344C0"/>
    <w:rsid w:val="001346FA"/>
    <w:rsid w:val="00135252"/>
    <w:rsid w:val="00136AAF"/>
    <w:rsid w:val="00137AB5"/>
    <w:rsid w:val="00137F0B"/>
    <w:rsid w:val="0014658F"/>
    <w:rsid w:val="00151E23"/>
    <w:rsid w:val="001526E0"/>
    <w:rsid w:val="00154C28"/>
    <w:rsid w:val="001551B5"/>
    <w:rsid w:val="001659C1"/>
    <w:rsid w:val="00170D39"/>
    <w:rsid w:val="00173A8E"/>
    <w:rsid w:val="0017502C"/>
    <w:rsid w:val="00175B41"/>
    <w:rsid w:val="00177E05"/>
    <w:rsid w:val="0018143F"/>
    <w:rsid w:val="00181FF8"/>
    <w:rsid w:val="00190AC1"/>
    <w:rsid w:val="00190FCE"/>
    <w:rsid w:val="0019341A"/>
    <w:rsid w:val="00197DF9"/>
    <w:rsid w:val="001A16B7"/>
    <w:rsid w:val="001A1987"/>
    <w:rsid w:val="001A2564"/>
    <w:rsid w:val="001A6173"/>
    <w:rsid w:val="001A6CBA"/>
    <w:rsid w:val="001A7A64"/>
    <w:rsid w:val="001B0D97"/>
    <w:rsid w:val="001B5A5D"/>
    <w:rsid w:val="001B69E4"/>
    <w:rsid w:val="001C0017"/>
    <w:rsid w:val="001C1CE5"/>
    <w:rsid w:val="001C3D2A"/>
    <w:rsid w:val="001D4EC0"/>
    <w:rsid w:val="001D51BA"/>
    <w:rsid w:val="001D53E7"/>
    <w:rsid w:val="001D6342"/>
    <w:rsid w:val="001D6D53"/>
    <w:rsid w:val="001E58E2"/>
    <w:rsid w:val="001E6C32"/>
    <w:rsid w:val="001E6D8E"/>
    <w:rsid w:val="001E7AED"/>
    <w:rsid w:val="001E7CAE"/>
    <w:rsid w:val="001F2074"/>
    <w:rsid w:val="001F3916"/>
    <w:rsid w:val="001F54C5"/>
    <w:rsid w:val="001F662C"/>
    <w:rsid w:val="001F7074"/>
    <w:rsid w:val="00200490"/>
    <w:rsid w:val="00201F3A"/>
    <w:rsid w:val="00203F96"/>
    <w:rsid w:val="002069B2"/>
    <w:rsid w:val="00207FA3"/>
    <w:rsid w:val="0021194E"/>
    <w:rsid w:val="00213B6D"/>
    <w:rsid w:val="00214DA8"/>
    <w:rsid w:val="00215423"/>
    <w:rsid w:val="002158FA"/>
    <w:rsid w:val="0021785C"/>
    <w:rsid w:val="00220600"/>
    <w:rsid w:val="0022247B"/>
    <w:rsid w:val="002224DB"/>
    <w:rsid w:val="00223FCB"/>
    <w:rsid w:val="002252C3"/>
    <w:rsid w:val="00225C54"/>
    <w:rsid w:val="002265DA"/>
    <w:rsid w:val="00230765"/>
    <w:rsid w:val="00230D18"/>
    <w:rsid w:val="002319E4"/>
    <w:rsid w:val="002351FF"/>
    <w:rsid w:val="00235632"/>
    <w:rsid w:val="00235872"/>
    <w:rsid w:val="002372A5"/>
    <w:rsid w:val="00241559"/>
    <w:rsid w:val="002425E1"/>
    <w:rsid w:val="002435B3"/>
    <w:rsid w:val="00244DD9"/>
    <w:rsid w:val="002458EB"/>
    <w:rsid w:val="002500C8"/>
    <w:rsid w:val="00252A0E"/>
    <w:rsid w:val="00257543"/>
    <w:rsid w:val="00260419"/>
    <w:rsid w:val="002617E7"/>
    <w:rsid w:val="00264228"/>
    <w:rsid w:val="00264334"/>
    <w:rsid w:val="0026473E"/>
    <w:rsid w:val="002659D0"/>
    <w:rsid w:val="00266214"/>
    <w:rsid w:val="00267700"/>
    <w:rsid w:val="00267C83"/>
    <w:rsid w:val="0027144F"/>
    <w:rsid w:val="00271813"/>
    <w:rsid w:val="00271F3A"/>
    <w:rsid w:val="00272568"/>
    <w:rsid w:val="00273278"/>
    <w:rsid w:val="002737F4"/>
    <w:rsid w:val="0027386F"/>
    <w:rsid w:val="002756A5"/>
    <w:rsid w:val="002805F5"/>
    <w:rsid w:val="00280751"/>
    <w:rsid w:val="0028280A"/>
    <w:rsid w:val="002865A2"/>
    <w:rsid w:val="00286ACD"/>
    <w:rsid w:val="00287838"/>
    <w:rsid w:val="002907B5"/>
    <w:rsid w:val="00292EB7"/>
    <w:rsid w:val="00293025"/>
    <w:rsid w:val="00296227"/>
    <w:rsid w:val="00296F44"/>
    <w:rsid w:val="0029777D"/>
    <w:rsid w:val="002A055E"/>
    <w:rsid w:val="002A1D4E"/>
    <w:rsid w:val="002A2828"/>
    <w:rsid w:val="002A2869"/>
    <w:rsid w:val="002B24D6"/>
    <w:rsid w:val="002B3C38"/>
    <w:rsid w:val="002B4180"/>
    <w:rsid w:val="002C06AD"/>
    <w:rsid w:val="002C41E6"/>
    <w:rsid w:val="002C4B07"/>
    <w:rsid w:val="002D071A"/>
    <w:rsid w:val="002D1788"/>
    <w:rsid w:val="002D34B2"/>
    <w:rsid w:val="002D4065"/>
    <w:rsid w:val="002D48B0"/>
    <w:rsid w:val="002D5B37"/>
    <w:rsid w:val="002D7637"/>
    <w:rsid w:val="002E035A"/>
    <w:rsid w:val="002E17F2"/>
    <w:rsid w:val="002E62A6"/>
    <w:rsid w:val="002E7CAE"/>
    <w:rsid w:val="002E7EB1"/>
    <w:rsid w:val="002F2771"/>
    <w:rsid w:val="002F37A9"/>
    <w:rsid w:val="002F6D58"/>
    <w:rsid w:val="00301CE6"/>
    <w:rsid w:val="0030256B"/>
    <w:rsid w:val="00303B93"/>
    <w:rsid w:val="0030501F"/>
    <w:rsid w:val="003070BA"/>
    <w:rsid w:val="00307BA1"/>
    <w:rsid w:val="00311702"/>
    <w:rsid w:val="00311E82"/>
    <w:rsid w:val="00313FD6"/>
    <w:rsid w:val="003143BD"/>
    <w:rsid w:val="00314F65"/>
    <w:rsid w:val="00315363"/>
    <w:rsid w:val="0031669E"/>
    <w:rsid w:val="003203ED"/>
    <w:rsid w:val="00320BEA"/>
    <w:rsid w:val="00322C9F"/>
    <w:rsid w:val="00324D23"/>
    <w:rsid w:val="00326250"/>
    <w:rsid w:val="00326C70"/>
    <w:rsid w:val="00327499"/>
    <w:rsid w:val="00331751"/>
    <w:rsid w:val="00334579"/>
    <w:rsid w:val="00334C1C"/>
    <w:rsid w:val="00335858"/>
    <w:rsid w:val="00336BDA"/>
    <w:rsid w:val="003417A9"/>
    <w:rsid w:val="00342BD7"/>
    <w:rsid w:val="00346DB5"/>
    <w:rsid w:val="003477B1"/>
    <w:rsid w:val="003478BF"/>
    <w:rsid w:val="00357380"/>
    <w:rsid w:val="003602D9"/>
    <w:rsid w:val="003604CE"/>
    <w:rsid w:val="00360F38"/>
    <w:rsid w:val="00365FC1"/>
    <w:rsid w:val="00370E47"/>
    <w:rsid w:val="003742AC"/>
    <w:rsid w:val="00377CE1"/>
    <w:rsid w:val="00382A97"/>
    <w:rsid w:val="00385BF0"/>
    <w:rsid w:val="0039394D"/>
    <w:rsid w:val="003939FF"/>
    <w:rsid w:val="0039744D"/>
    <w:rsid w:val="003A2223"/>
    <w:rsid w:val="003A2A0F"/>
    <w:rsid w:val="003A45A1"/>
    <w:rsid w:val="003A5B0A"/>
    <w:rsid w:val="003A6BAC"/>
    <w:rsid w:val="003A70A4"/>
    <w:rsid w:val="003A7EF3"/>
    <w:rsid w:val="003B159C"/>
    <w:rsid w:val="003B369F"/>
    <w:rsid w:val="003B36A3"/>
    <w:rsid w:val="003B53A1"/>
    <w:rsid w:val="003B64BB"/>
    <w:rsid w:val="003B7861"/>
    <w:rsid w:val="003B7FE5"/>
    <w:rsid w:val="003C0581"/>
    <w:rsid w:val="003C11C8"/>
    <w:rsid w:val="003C2702"/>
    <w:rsid w:val="003C7549"/>
    <w:rsid w:val="003C7806"/>
    <w:rsid w:val="003C7821"/>
    <w:rsid w:val="003D109F"/>
    <w:rsid w:val="003D2478"/>
    <w:rsid w:val="003D3C45"/>
    <w:rsid w:val="003D3D23"/>
    <w:rsid w:val="003D5B1F"/>
    <w:rsid w:val="003D695B"/>
    <w:rsid w:val="003E15FA"/>
    <w:rsid w:val="003E55E4"/>
    <w:rsid w:val="003E74E3"/>
    <w:rsid w:val="003E77F5"/>
    <w:rsid w:val="003E7ACB"/>
    <w:rsid w:val="003F05C7"/>
    <w:rsid w:val="003F2007"/>
    <w:rsid w:val="003F2CD4"/>
    <w:rsid w:val="003F54F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CC5"/>
    <w:rsid w:val="00437447"/>
    <w:rsid w:val="00441A92"/>
    <w:rsid w:val="00442AA1"/>
    <w:rsid w:val="004431DC"/>
    <w:rsid w:val="0044323D"/>
    <w:rsid w:val="00444F56"/>
    <w:rsid w:val="00446488"/>
    <w:rsid w:val="00446BFF"/>
    <w:rsid w:val="004517AA"/>
    <w:rsid w:val="0045201B"/>
    <w:rsid w:val="00452CAC"/>
    <w:rsid w:val="00457565"/>
    <w:rsid w:val="00457B71"/>
    <w:rsid w:val="004665C8"/>
    <w:rsid w:val="004669E2"/>
    <w:rsid w:val="00470C31"/>
    <w:rsid w:val="00470CC7"/>
    <w:rsid w:val="00471DE0"/>
    <w:rsid w:val="004734D0"/>
    <w:rsid w:val="0047481D"/>
    <w:rsid w:val="0047556B"/>
    <w:rsid w:val="00477768"/>
    <w:rsid w:val="0049030F"/>
    <w:rsid w:val="00492BC5"/>
    <w:rsid w:val="004964F1"/>
    <w:rsid w:val="004A16BC"/>
    <w:rsid w:val="004A2B94"/>
    <w:rsid w:val="004A79CD"/>
    <w:rsid w:val="004B0467"/>
    <w:rsid w:val="004B0EFF"/>
    <w:rsid w:val="004B2CEE"/>
    <w:rsid w:val="004B6F6A"/>
    <w:rsid w:val="004B7C0C"/>
    <w:rsid w:val="004C00BE"/>
    <w:rsid w:val="004C2ABE"/>
    <w:rsid w:val="004C3898"/>
    <w:rsid w:val="004D06FC"/>
    <w:rsid w:val="004D36B1"/>
    <w:rsid w:val="004D7EBD"/>
    <w:rsid w:val="004E0E1C"/>
    <w:rsid w:val="004E2680"/>
    <w:rsid w:val="004E28F9"/>
    <w:rsid w:val="004E462E"/>
    <w:rsid w:val="004E4642"/>
    <w:rsid w:val="004E56DC"/>
    <w:rsid w:val="004E76F4"/>
    <w:rsid w:val="004F0B4E"/>
    <w:rsid w:val="004F0B6C"/>
    <w:rsid w:val="004F2078"/>
    <w:rsid w:val="004F2130"/>
    <w:rsid w:val="004F4DA3"/>
    <w:rsid w:val="004F71BA"/>
    <w:rsid w:val="005006B3"/>
    <w:rsid w:val="00501DBB"/>
    <w:rsid w:val="00502C5D"/>
    <w:rsid w:val="0050405C"/>
    <w:rsid w:val="00506557"/>
    <w:rsid w:val="0050677A"/>
    <w:rsid w:val="005108D8"/>
    <w:rsid w:val="00511411"/>
    <w:rsid w:val="005116F9"/>
    <w:rsid w:val="00512230"/>
    <w:rsid w:val="00514524"/>
    <w:rsid w:val="005153A7"/>
    <w:rsid w:val="005208C0"/>
    <w:rsid w:val="005219CF"/>
    <w:rsid w:val="00523CB9"/>
    <w:rsid w:val="00534B59"/>
    <w:rsid w:val="005358ED"/>
    <w:rsid w:val="00536759"/>
    <w:rsid w:val="00537C62"/>
    <w:rsid w:val="00543F53"/>
    <w:rsid w:val="00546970"/>
    <w:rsid w:val="005523EA"/>
    <w:rsid w:val="00554E19"/>
    <w:rsid w:val="00556C50"/>
    <w:rsid w:val="0056121F"/>
    <w:rsid w:val="00561BDC"/>
    <w:rsid w:val="00567792"/>
    <w:rsid w:val="00572122"/>
    <w:rsid w:val="0057245A"/>
    <w:rsid w:val="00572505"/>
    <w:rsid w:val="005741F8"/>
    <w:rsid w:val="00575C49"/>
    <w:rsid w:val="00582809"/>
    <w:rsid w:val="0058391A"/>
    <w:rsid w:val="00586E3E"/>
    <w:rsid w:val="00587547"/>
    <w:rsid w:val="0058798C"/>
    <w:rsid w:val="005900FA"/>
    <w:rsid w:val="005910B3"/>
    <w:rsid w:val="005935A4"/>
    <w:rsid w:val="005948C2"/>
    <w:rsid w:val="00595DCA"/>
    <w:rsid w:val="0059779B"/>
    <w:rsid w:val="005A209A"/>
    <w:rsid w:val="005A662D"/>
    <w:rsid w:val="005B06DB"/>
    <w:rsid w:val="005B0782"/>
    <w:rsid w:val="005B1409"/>
    <w:rsid w:val="005B35D7"/>
    <w:rsid w:val="005B392A"/>
    <w:rsid w:val="005B3AA3"/>
    <w:rsid w:val="005B6F83"/>
    <w:rsid w:val="005C113D"/>
    <w:rsid w:val="005C2D5F"/>
    <w:rsid w:val="005C74FB"/>
    <w:rsid w:val="005D1602"/>
    <w:rsid w:val="005D7970"/>
    <w:rsid w:val="005E0F20"/>
    <w:rsid w:val="005E1917"/>
    <w:rsid w:val="005E245A"/>
    <w:rsid w:val="005E385F"/>
    <w:rsid w:val="005E5B81"/>
    <w:rsid w:val="005E623A"/>
    <w:rsid w:val="005F1BBD"/>
    <w:rsid w:val="005F2CB1"/>
    <w:rsid w:val="005F3025"/>
    <w:rsid w:val="005F60D3"/>
    <w:rsid w:val="005F618C"/>
    <w:rsid w:val="005F70BD"/>
    <w:rsid w:val="0060283C"/>
    <w:rsid w:val="00604F14"/>
    <w:rsid w:val="0060601C"/>
    <w:rsid w:val="00607755"/>
    <w:rsid w:val="00611B83"/>
    <w:rsid w:val="00612BC8"/>
    <w:rsid w:val="00613257"/>
    <w:rsid w:val="00620A71"/>
    <w:rsid w:val="00620D80"/>
    <w:rsid w:val="00621ECC"/>
    <w:rsid w:val="006234A6"/>
    <w:rsid w:val="00624B11"/>
    <w:rsid w:val="00630001"/>
    <w:rsid w:val="006311B3"/>
    <w:rsid w:val="0063284C"/>
    <w:rsid w:val="00636398"/>
    <w:rsid w:val="006368D3"/>
    <w:rsid w:val="006372F3"/>
    <w:rsid w:val="006377EC"/>
    <w:rsid w:val="00640A4D"/>
    <w:rsid w:val="0064151F"/>
    <w:rsid w:val="00641533"/>
    <w:rsid w:val="0064208D"/>
    <w:rsid w:val="00643475"/>
    <w:rsid w:val="0064396A"/>
    <w:rsid w:val="0064624E"/>
    <w:rsid w:val="00646CCB"/>
    <w:rsid w:val="00647140"/>
    <w:rsid w:val="00647F2B"/>
    <w:rsid w:val="00650AB9"/>
    <w:rsid w:val="00650CBD"/>
    <w:rsid w:val="00655733"/>
    <w:rsid w:val="00655ACD"/>
    <w:rsid w:val="00656A92"/>
    <w:rsid w:val="00656DDE"/>
    <w:rsid w:val="00657817"/>
    <w:rsid w:val="0066011D"/>
    <w:rsid w:val="006607C0"/>
    <w:rsid w:val="006613A6"/>
    <w:rsid w:val="006627A2"/>
    <w:rsid w:val="00662E63"/>
    <w:rsid w:val="00662FB0"/>
    <w:rsid w:val="006634E6"/>
    <w:rsid w:val="006640B9"/>
    <w:rsid w:val="0066423F"/>
    <w:rsid w:val="00664F88"/>
    <w:rsid w:val="006655EE"/>
    <w:rsid w:val="00667EE7"/>
    <w:rsid w:val="0067013B"/>
    <w:rsid w:val="00670922"/>
    <w:rsid w:val="00670BE1"/>
    <w:rsid w:val="0067218F"/>
    <w:rsid w:val="006741F2"/>
    <w:rsid w:val="00674CC3"/>
    <w:rsid w:val="00675C72"/>
    <w:rsid w:val="006771F9"/>
    <w:rsid w:val="006776D7"/>
    <w:rsid w:val="00681003"/>
    <w:rsid w:val="006817C9"/>
    <w:rsid w:val="00683ECE"/>
    <w:rsid w:val="006875BF"/>
    <w:rsid w:val="006910A4"/>
    <w:rsid w:val="006953FF"/>
    <w:rsid w:val="00695827"/>
    <w:rsid w:val="00695FC2"/>
    <w:rsid w:val="00696949"/>
    <w:rsid w:val="00697052"/>
    <w:rsid w:val="006A0D88"/>
    <w:rsid w:val="006A46FB"/>
    <w:rsid w:val="006A5E28"/>
    <w:rsid w:val="006A697B"/>
    <w:rsid w:val="006A7AFF"/>
    <w:rsid w:val="006B1816"/>
    <w:rsid w:val="006B2099"/>
    <w:rsid w:val="006B50CF"/>
    <w:rsid w:val="006B7E86"/>
    <w:rsid w:val="006C03B8"/>
    <w:rsid w:val="006C3CA5"/>
    <w:rsid w:val="006C58A1"/>
    <w:rsid w:val="006C5EC9"/>
    <w:rsid w:val="006C6059"/>
    <w:rsid w:val="006C717B"/>
    <w:rsid w:val="006C7522"/>
    <w:rsid w:val="006D6F08"/>
    <w:rsid w:val="006D6FEA"/>
    <w:rsid w:val="006E062C"/>
    <w:rsid w:val="006E1C82"/>
    <w:rsid w:val="006E28B7"/>
    <w:rsid w:val="006E2A9B"/>
    <w:rsid w:val="006E3310"/>
    <w:rsid w:val="006E4E39"/>
    <w:rsid w:val="006E51E1"/>
    <w:rsid w:val="006E565E"/>
    <w:rsid w:val="006E61F4"/>
    <w:rsid w:val="006E673D"/>
    <w:rsid w:val="006E7D3B"/>
    <w:rsid w:val="006E7F43"/>
    <w:rsid w:val="006F1B70"/>
    <w:rsid w:val="006F341D"/>
    <w:rsid w:val="006F3CDE"/>
    <w:rsid w:val="006F58D4"/>
    <w:rsid w:val="006F6582"/>
    <w:rsid w:val="006F710B"/>
    <w:rsid w:val="0070346E"/>
    <w:rsid w:val="00704108"/>
    <w:rsid w:val="00704EDB"/>
    <w:rsid w:val="00706101"/>
    <w:rsid w:val="00707072"/>
    <w:rsid w:val="00707D61"/>
    <w:rsid w:val="00710BCA"/>
    <w:rsid w:val="00712287"/>
    <w:rsid w:val="00712772"/>
    <w:rsid w:val="007148D3"/>
    <w:rsid w:val="007159C5"/>
    <w:rsid w:val="00715B9A"/>
    <w:rsid w:val="00722E39"/>
    <w:rsid w:val="007257D0"/>
    <w:rsid w:val="00726EA6"/>
    <w:rsid w:val="00727208"/>
    <w:rsid w:val="00727680"/>
    <w:rsid w:val="007343C6"/>
    <w:rsid w:val="007348B1"/>
    <w:rsid w:val="007362A6"/>
    <w:rsid w:val="00736D7D"/>
    <w:rsid w:val="00740E58"/>
    <w:rsid w:val="00743B8C"/>
    <w:rsid w:val="007445A0"/>
    <w:rsid w:val="0074524B"/>
    <w:rsid w:val="00747D8B"/>
    <w:rsid w:val="00751228"/>
    <w:rsid w:val="00751F34"/>
    <w:rsid w:val="0075232C"/>
    <w:rsid w:val="00755F70"/>
    <w:rsid w:val="007571E1"/>
    <w:rsid w:val="00757A16"/>
    <w:rsid w:val="00760032"/>
    <w:rsid w:val="007604B2"/>
    <w:rsid w:val="00763033"/>
    <w:rsid w:val="00763B08"/>
    <w:rsid w:val="00765281"/>
    <w:rsid w:val="00766A25"/>
    <w:rsid w:val="00766BAD"/>
    <w:rsid w:val="007729A2"/>
    <w:rsid w:val="007755F2"/>
    <w:rsid w:val="00776971"/>
    <w:rsid w:val="00780A80"/>
    <w:rsid w:val="0078177E"/>
    <w:rsid w:val="00781C7A"/>
    <w:rsid w:val="0078304C"/>
    <w:rsid w:val="00783673"/>
    <w:rsid w:val="00785490"/>
    <w:rsid w:val="00786424"/>
    <w:rsid w:val="007925EA"/>
    <w:rsid w:val="00793CD8"/>
    <w:rsid w:val="00795C92"/>
    <w:rsid w:val="00796231"/>
    <w:rsid w:val="007A1CB3"/>
    <w:rsid w:val="007A306F"/>
    <w:rsid w:val="007A43A6"/>
    <w:rsid w:val="007A58A6"/>
    <w:rsid w:val="007B3D2D"/>
    <w:rsid w:val="007B50AE"/>
    <w:rsid w:val="007B51DF"/>
    <w:rsid w:val="007C05DD"/>
    <w:rsid w:val="007C3D18"/>
    <w:rsid w:val="007C4A04"/>
    <w:rsid w:val="007C60BF"/>
    <w:rsid w:val="007C6A07"/>
    <w:rsid w:val="007C75A1"/>
    <w:rsid w:val="007C77A5"/>
    <w:rsid w:val="007D04E5"/>
    <w:rsid w:val="007D0534"/>
    <w:rsid w:val="007D3998"/>
    <w:rsid w:val="007D4EB7"/>
    <w:rsid w:val="007D4F0B"/>
    <w:rsid w:val="007D5901"/>
    <w:rsid w:val="007D7526"/>
    <w:rsid w:val="007D7969"/>
    <w:rsid w:val="007E4610"/>
    <w:rsid w:val="007E4715"/>
    <w:rsid w:val="007E505B"/>
    <w:rsid w:val="007E7091"/>
    <w:rsid w:val="007F093C"/>
    <w:rsid w:val="007F1557"/>
    <w:rsid w:val="007F320F"/>
    <w:rsid w:val="007F5FD2"/>
    <w:rsid w:val="00803FAE"/>
    <w:rsid w:val="0080605F"/>
    <w:rsid w:val="00807786"/>
    <w:rsid w:val="00811DA4"/>
    <w:rsid w:val="00811FCB"/>
    <w:rsid w:val="00813A89"/>
    <w:rsid w:val="00814A6B"/>
    <w:rsid w:val="008158D6"/>
    <w:rsid w:val="00817196"/>
    <w:rsid w:val="008235DB"/>
    <w:rsid w:val="00824AB4"/>
    <w:rsid w:val="00825C42"/>
    <w:rsid w:val="00825D25"/>
    <w:rsid w:val="00827D6F"/>
    <w:rsid w:val="0083364E"/>
    <w:rsid w:val="008376AC"/>
    <w:rsid w:val="008444E8"/>
    <w:rsid w:val="00844E80"/>
    <w:rsid w:val="00846FE7"/>
    <w:rsid w:val="008511BA"/>
    <w:rsid w:val="00853456"/>
    <w:rsid w:val="00856911"/>
    <w:rsid w:val="00860A4F"/>
    <w:rsid w:val="00861ED6"/>
    <w:rsid w:val="0086221E"/>
    <w:rsid w:val="0086417B"/>
    <w:rsid w:val="00865082"/>
    <w:rsid w:val="008677FD"/>
    <w:rsid w:val="008706D4"/>
    <w:rsid w:val="00870F8A"/>
    <w:rsid w:val="008719A4"/>
    <w:rsid w:val="00871D23"/>
    <w:rsid w:val="00874312"/>
    <w:rsid w:val="0087437C"/>
    <w:rsid w:val="00875CD7"/>
    <w:rsid w:val="00876B4D"/>
    <w:rsid w:val="00877F18"/>
    <w:rsid w:val="00892364"/>
    <w:rsid w:val="008941E3"/>
    <w:rsid w:val="00894A88"/>
    <w:rsid w:val="00895386"/>
    <w:rsid w:val="008959F6"/>
    <w:rsid w:val="008A14D6"/>
    <w:rsid w:val="008A21FF"/>
    <w:rsid w:val="008A2CE2"/>
    <w:rsid w:val="008A30AC"/>
    <w:rsid w:val="008A44B8"/>
    <w:rsid w:val="008A51A8"/>
    <w:rsid w:val="008A54C7"/>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03B1"/>
    <w:rsid w:val="008D32D0"/>
    <w:rsid w:val="008D34F1"/>
    <w:rsid w:val="008D39D8"/>
    <w:rsid w:val="008D3BBC"/>
    <w:rsid w:val="008D6D1A"/>
    <w:rsid w:val="008D79DA"/>
    <w:rsid w:val="008E065E"/>
    <w:rsid w:val="008E0927"/>
    <w:rsid w:val="008E1909"/>
    <w:rsid w:val="008E1FAF"/>
    <w:rsid w:val="008F1EAB"/>
    <w:rsid w:val="008F1FF6"/>
    <w:rsid w:val="008F33DC"/>
    <w:rsid w:val="008F477F"/>
    <w:rsid w:val="00902350"/>
    <w:rsid w:val="0090336B"/>
    <w:rsid w:val="009053AA"/>
    <w:rsid w:val="00905CE8"/>
    <w:rsid w:val="00906939"/>
    <w:rsid w:val="00910B7D"/>
    <w:rsid w:val="0091142C"/>
    <w:rsid w:val="00911DFB"/>
    <w:rsid w:val="009139D9"/>
    <w:rsid w:val="00913B37"/>
    <w:rsid w:val="00914AD8"/>
    <w:rsid w:val="00916079"/>
    <w:rsid w:val="00917CE9"/>
    <w:rsid w:val="00920BF2"/>
    <w:rsid w:val="00922010"/>
    <w:rsid w:val="00922B3D"/>
    <w:rsid w:val="00925717"/>
    <w:rsid w:val="00931BD9"/>
    <w:rsid w:val="00934D29"/>
    <w:rsid w:val="00935F88"/>
    <w:rsid w:val="00936667"/>
    <w:rsid w:val="00936875"/>
    <w:rsid w:val="009368F3"/>
    <w:rsid w:val="00936F40"/>
    <w:rsid w:val="009409CD"/>
    <w:rsid w:val="00941636"/>
    <w:rsid w:val="00943742"/>
    <w:rsid w:val="009453F4"/>
    <w:rsid w:val="00945C05"/>
    <w:rsid w:val="00946117"/>
    <w:rsid w:val="00946945"/>
    <w:rsid w:val="00947275"/>
    <w:rsid w:val="00947713"/>
    <w:rsid w:val="00950DE7"/>
    <w:rsid w:val="00953920"/>
    <w:rsid w:val="0095394D"/>
    <w:rsid w:val="00953D47"/>
    <w:rsid w:val="009552E3"/>
    <w:rsid w:val="00955A68"/>
    <w:rsid w:val="0095681E"/>
    <w:rsid w:val="009572D4"/>
    <w:rsid w:val="00961921"/>
    <w:rsid w:val="00962075"/>
    <w:rsid w:val="0096430A"/>
    <w:rsid w:val="0096554B"/>
    <w:rsid w:val="0096584A"/>
    <w:rsid w:val="00967345"/>
    <w:rsid w:val="00971F08"/>
    <w:rsid w:val="0097603D"/>
    <w:rsid w:val="00976949"/>
    <w:rsid w:val="00980477"/>
    <w:rsid w:val="00985253"/>
    <w:rsid w:val="009853B3"/>
    <w:rsid w:val="00987F06"/>
    <w:rsid w:val="00990531"/>
    <w:rsid w:val="00990630"/>
    <w:rsid w:val="00991761"/>
    <w:rsid w:val="00994D14"/>
    <w:rsid w:val="00994DCA"/>
    <w:rsid w:val="009960EC"/>
    <w:rsid w:val="009970DD"/>
    <w:rsid w:val="009A0FBA"/>
    <w:rsid w:val="009A1601"/>
    <w:rsid w:val="009A1D19"/>
    <w:rsid w:val="009A3BB6"/>
    <w:rsid w:val="009A462D"/>
    <w:rsid w:val="009A5CBA"/>
    <w:rsid w:val="009B1D03"/>
    <w:rsid w:val="009B1F30"/>
    <w:rsid w:val="009B3AC2"/>
    <w:rsid w:val="009B4DF4"/>
    <w:rsid w:val="009B564E"/>
    <w:rsid w:val="009B7E87"/>
    <w:rsid w:val="009C0169"/>
    <w:rsid w:val="009C1FC7"/>
    <w:rsid w:val="009C3CE9"/>
    <w:rsid w:val="009C403E"/>
    <w:rsid w:val="009D03F0"/>
    <w:rsid w:val="009D06E2"/>
    <w:rsid w:val="009D1E3F"/>
    <w:rsid w:val="009D201F"/>
    <w:rsid w:val="009D3C51"/>
    <w:rsid w:val="009D3C78"/>
    <w:rsid w:val="009D4FF0"/>
    <w:rsid w:val="009D5D53"/>
    <w:rsid w:val="009D703C"/>
    <w:rsid w:val="009D718B"/>
    <w:rsid w:val="009D718F"/>
    <w:rsid w:val="009E068F"/>
    <w:rsid w:val="009E14E0"/>
    <w:rsid w:val="009E35DB"/>
    <w:rsid w:val="009E47A3"/>
    <w:rsid w:val="009E4A2A"/>
    <w:rsid w:val="009F08F3"/>
    <w:rsid w:val="009F344F"/>
    <w:rsid w:val="009F5692"/>
    <w:rsid w:val="00A031D8"/>
    <w:rsid w:val="00A048A8"/>
    <w:rsid w:val="00A04F49"/>
    <w:rsid w:val="00A10178"/>
    <w:rsid w:val="00A10BAD"/>
    <w:rsid w:val="00A12718"/>
    <w:rsid w:val="00A13E54"/>
    <w:rsid w:val="00A14930"/>
    <w:rsid w:val="00A15C6C"/>
    <w:rsid w:val="00A17A68"/>
    <w:rsid w:val="00A17F63"/>
    <w:rsid w:val="00A2193B"/>
    <w:rsid w:val="00A2351A"/>
    <w:rsid w:val="00A264A9"/>
    <w:rsid w:val="00A26DCF"/>
    <w:rsid w:val="00A27785"/>
    <w:rsid w:val="00A30187"/>
    <w:rsid w:val="00A33169"/>
    <w:rsid w:val="00A3448A"/>
    <w:rsid w:val="00A356DA"/>
    <w:rsid w:val="00A35AFC"/>
    <w:rsid w:val="00A36297"/>
    <w:rsid w:val="00A41E2B"/>
    <w:rsid w:val="00A45B74"/>
    <w:rsid w:val="00A52E1D"/>
    <w:rsid w:val="00A552E3"/>
    <w:rsid w:val="00A57104"/>
    <w:rsid w:val="00A57153"/>
    <w:rsid w:val="00A60D71"/>
    <w:rsid w:val="00A61499"/>
    <w:rsid w:val="00A620E8"/>
    <w:rsid w:val="00A62A77"/>
    <w:rsid w:val="00A63483"/>
    <w:rsid w:val="00A635E5"/>
    <w:rsid w:val="00A65227"/>
    <w:rsid w:val="00A657D7"/>
    <w:rsid w:val="00A660AC"/>
    <w:rsid w:val="00A67E6C"/>
    <w:rsid w:val="00A71B99"/>
    <w:rsid w:val="00A739D0"/>
    <w:rsid w:val="00A743DF"/>
    <w:rsid w:val="00A74B83"/>
    <w:rsid w:val="00A74C05"/>
    <w:rsid w:val="00A761D4"/>
    <w:rsid w:val="00A77EC4"/>
    <w:rsid w:val="00A80444"/>
    <w:rsid w:val="00A85DE0"/>
    <w:rsid w:val="00A92879"/>
    <w:rsid w:val="00A9442A"/>
    <w:rsid w:val="00A94E3D"/>
    <w:rsid w:val="00A951BE"/>
    <w:rsid w:val="00AA016F"/>
    <w:rsid w:val="00AA1ED6"/>
    <w:rsid w:val="00AA3484"/>
    <w:rsid w:val="00AA51D6"/>
    <w:rsid w:val="00AB06D1"/>
    <w:rsid w:val="00AB0BC8"/>
    <w:rsid w:val="00AB11CA"/>
    <w:rsid w:val="00AB14D9"/>
    <w:rsid w:val="00AB4AB8"/>
    <w:rsid w:val="00AB655E"/>
    <w:rsid w:val="00AB7977"/>
    <w:rsid w:val="00AC007F"/>
    <w:rsid w:val="00AC2ECD"/>
    <w:rsid w:val="00AC3119"/>
    <w:rsid w:val="00AC49FB"/>
    <w:rsid w:val="00AC5A10"/>
    <w:rsid w:val="00AD0AA3"/>
    <w:rsid w:val="00AD3F94"/>
    <w:rsid w:val="00AD4A5A"/>
    <w:rsid w:val="00AD73EA"/>
    <w:rsid w:val="00AE27AC"/>
    <w:rsid w:val="00AE3DB1"/>
    <w:rsid w:val="00AE40E0"/>
    <w:rsid w:val="00AE4DBA"/>
    <w:rsid w:val="00AE4F07"/>
    <w:rsid w:val="00AF1C5D"/>
    <w:rsid w:val="00AF42D7"/>
    <w:rsid w:val="00B006FE"/>
    <w:rsid w:val="00B007CB"/>
    <w:rsid w:val="00B00DD7"/>
    <w:rsid w:val="00B02AA9"/>
    <w:rsid w:val="00B02FA3"/>
    <w:rsid w:val="00B05084"/>
    <w:rsid w:val="00B07411"/>
    <w:rsid w:val="00B10212"/>
    <w:rsid w:val="00B10218"/>
    <w:rsid w:val="00B12D51"/>
    <w:rsid w:val="00B157F9"/>
    <w:rsid w:val="00B170AC"/>
    <w:rsid w:val="00B20256"/>
    <w:rsid w:val="00B20D09"/>
    <w:rsid w:val="00B2763F"/>
    <w:rsid w:val="00B27AAC"/>
    <w:rsid w:val="00B30929"/>
    <w:rsid w:val="00B3470F"/>
    <w:rsid w:val="00B372AA"/>
    <w:rsid w:val="00B40445"/>
    <w:rsid w:val="00B409E0"/>
    <w:rsid w:val="00B41888"/>
    <w:rsid w:val="00B42B12"/>
    <w:rsid w:val="00B45A52"/>
    <w:rsid w:val="00B45AD7"/>
    <w:rsid w:val="00B46175"/>
    <w:rsid w:val="00B51659"/>
    <w:rsid w:val="00B5259A"/>
    <w:rsid w:val="00B548B7"/>
    <w:rsid w:val="00B60D13"/>
    <w:rsid w:val="00B61175"/>
    <w:rsid w:val="00B664C7"/>
    <w:rsid w:val="00B739F6"/>
    <w:rsid w:val="00B754DF"/>
    <w:rsid w:val="00B81A6C"/>
    <w:rsid w:val="00B85DB6"/>
    <w:rsid w:val="00B85DE5"/>
    <w:rsid w:val="00B90F73"/>
    <w:rsid w:val="00B93B59"/>
    <w:rsid w:val="00B9406A"/>
    <w:rsid w:val="00B95210"/>
    <w:rsid w:val="00B95EB0"/>
    <w:rsid w:val="00BA2280"/>
    <w:rsid w:val="00BA2A08"/>
    <w:rsid w:val="00BA56D2"/>
    <w:rsid w:val="00BA73ED"/>
    <w:rsid w:val="00BA76E0"/>
    <w:rsid w:val="00BB2A25"/>
    <w:rsid w:val="00BB2BD7"/>
    <w:rsid w:val="00BB51E9"/>
    <w:rsid w:val="00BC0FDC"/>
    <w:rsid w:val="00BC3053"/>
    <w:rsid w:val="00BC4D2E"/>
    <w:rsid w:val="00BD48AC"/>
    <w:rsid w:val="00BD48F1"/>
    <w:rsid w:val="00BD5F1A"/>
    <w:rsid w:val="00BE1234"/>
    <w:rsid w:val="00BE2FA6"/>
    <w:rsid w:val="00BE333F"/>
    <w:rsid w:val="00BE7406"/>
    <w:rsid w:val="00BE7603"/>
    <w:rsid w:val="00BF1F33"/>
    <w:rsid w:val="00BF3279"/>
    <w:rsid w:val="00BF74C7"/>
    <w:rsid w:val="00BF7638"/>
    <w:rsid w:val="00C015F1"/>
    <w:rsid w:val="00C01F33"/>
    <w:rsid w:val="00C02CC6"/>
    <w:rsid w:val="00C040F7"/>
    <w:rsid w:val="00C044AB"/>
    <w:rsid w:val="00C05706"/>
    <w:rsid w:val="00C07377"/>
    <w:rsid w:val="00C0760F"/>
    <w:rsid w:val="00C07BB0"/>
    <w:rsid w:val="00C10478"/>
    <w:rsid w:val="00C12107"/>
    <w:rsid w:val="00C12F05"/>
    <w:rsid w:val="00C14D4B"/>
    <w:rsid w:val="00C154BB"/>
    <w:rsid w:val="00C23837"/>
    <w:rsid w:val="00C279B5"/>
    <w:rsid w:val="00C27C45"/>
    <w:rsid w:val="00C3719D"/>
    <w:rsid w:val="00C37CB2"/>
    <w:rsid w:val="00C462D9"/>
    <w:rsid w:val="00C473A5"/>
    <w:rsid w:val="00C473B5"/>
    <w:rsid w:val="00C54995"/>
    <w:rsid w:val="00C54D41"/>
    <w:rsid w:val="00C60783"/>
    <w:rsid w:val="00C625C4"/>
    <w:rsid w:val="00C62B55"/>
    <w:rsid w:val="00C64672"/>
    <w:rsid w:val="00C70697"/>
    <w:rsid w:val="00C72093"/>
    <w:rsid w:val="00C72EF4"/>
    <w:rsid w:val="00C744FE"/>
    <w:rsid w:val="00C75D2F"/>
    <w:rsid w:val="00C765E0"/>
    <w:rsid w:val="00C767BE"/>
    <w:rsid w:val="00C76E3C"/>
    <w:rsid w:val="00C80563"/>
    <w:rsid w:val="00C81568"/>
    <w:rsid w:val="00C82A80"/>
    <w:rsid w:val="00C8462D"/>
    <w:rsid w:val="00C8498F"/>
    <w:rsid w:val="00C9027A"/>
    <w:rsid w:val="00C9068E"/>
    <w:rsid w:val="00C91261"/>
    <w:rsid w:val="00C92F6B"/>
    <w:rsid w:val="00C93814"/>
    <w:rsid w:val="00C93C4B"/>
    <w:rsid w:val="00C944AB"/>
    <w:rsid w:val="00C95B40"/>
    <w:rsid w:val="00CA1ED8"/>
    <w:rsid w:val="00CB1F63"/>
    <w:rsid w:val="00CB4E63"/>
    <w:rsid w:val="00CB7170"/>
    <w:rsid w:val="00CC040E"/>
    <w:rsid w:val="00CC111F"/>
    <w:rsid w:val="00CC2011"/>
    <w:rsid w:val="00CC3EA0"/>
    <w:rsid w:val="00CC7B45"/>
    <w:rsid w:val="00CD058B"/>
    <w:rsid w:val="00CD1188"/>
    <w:rsid w:val="00CD2ED1"/>
    <w:rsid w:val="00CD337B"/>
    <w:rsid w:val="00CD44AB"/>
    <w:rsid w:val="00CD516F"/>
    <w:rsid w:val="00CE0424"/>
    <w:rsid w:val="00CE7561"/>
    <w:rsid w:val="00CF1354"/>
    <w:rsid w:val="00CF3B1F"/>
    <w:rsid w:val="00CF3BF6"/>
    <w:rsid w:val="00CF625B"/>
    <w:rsid w:val="00CF687E"/>
    <w:rsid w:val="00CF6E04"/>
    <w:rsid w:val="00CF7F30"/>
    <w:rsid w:val="00D01777"/>
    <w:rsid w:val="00D0349B"/>
    <w:rsid w:val="00D10249"/>
    <w:rsid w:val="00D115C3"/>
    <w:rsid w:val="00D11897"/>
    <w:rsid w:val="00D12272"/>
    <w:rsid w:val="00D13135"/>
    <w:rsid w:val="00D13E4E"/>
    <w:rsid w:val="00D14073"/>
    <w:rsid w:val="00D239A7"/>
    <w:rsid w:val="00D23F47"/>
    <w:rsid w:val="00D302C4"/>
    <w:rsid w:val="00D34D51"/>
    <w:rsid w:val="00D3561F"/>
    <w:rsid w:val="00D36E71"/>
    <w:rsid w:val="00D37D87"/>
    <w:rsid w:val="00D40B33"/>
    <w:rsid w:val="00D40B93"/>
    <w:rsid w:val="00D4318F"/>
    <w:rsid w:val="00D431E6"/>
    <w:rsid w:val="00D438BF"/>
    <w:rsid w:val="00D440F8"/>
    <w:rsid w:val="00D45AE0"/>
    <w:rsid w:val="00D50FAD"/>
    <w:rsid w:val="00D546FF"/>
    <w:rsid w:val="00D55AD5"/>
    <w:rsid w:val="00D576CA"/>
    <w:rsid w:val="00D61AF5"/>
    <w:rsid w:val="00D652B5"/>
    <w:rsid w:val="00D66155"/>
    <w:rsid w:val="00D675A0"/>
    <w:rsid w:val="00D708B0"/>
    <w:rsid w:val="00D711CC"/>
    <w:rsid w:val="00D75A5B"/>
    <w:rsid w:val="00D77B1D"/>
    <w:rsid w:val="00D8021F"/>
    <w:rsid w:val="00D80383"/>
    <w:rsid w:val="00D823C6"/>
    <w:rsid w:val="00D8327F"/>
    <w:rsid w:val="00D86CA3"/>
    <w:rsid w:val="00D871CE"/>
    <w:rsid w:val="00D9196D"/>
    <w:rsid w:val="00D92982"/>
    <w:rsid w:val="00DA1DCF"/>
    <w:rsid w:val="00DA305E"/>
    <w:rsid w:val="00DA5417"/>
    <w:rsid w:val="00DA56E8"/>
    <w:rsid w:val="00DB0A9F"/>
    <w:rsid w:val="00DB377D"/>
    <w:rsid w:val="00DC2D36"/>
    <w:rsid w:val="00DC47E4"/>
    <w:rsid w:val="00DC53EF"/>
    <w:rsid w:val="00DC69BA"/>
    <w:rsid w:val="00DD0DA5"/>
    <w:rsid w:val="00DD6BC3"/>
    <w:rsid w:val="00DE3DAF"/>
    <w:rsid w:val="00DE5608"/>
    <w:rsid w:val="00DE58D0"/>
    <w:rsid w:val="00DE654F"/>
    <w:rsid w:val="00DE7835"/>
    <w:rsid w:val="00DF014C"/>
    <w:rsid w:val="00DF0B6E"/>
    <w:rsid w:val="00DF15E0"/>
    <w:rsid w:val="00DF37A0"/>
    <w:rsid w:val="00E0443C"/>
    <w:rsid w:val="00E110E7"/>
    <w:rsid w:val="00E11B20"/>
    <w:rsid w:val="00E16559"/>
    <w:rsid w:val="00E17FA2"/>
    <w:rsid w:val="00E22330"/>
    <w:rsid w:val="00E30161"/>
    <w:rsid w:val="00E30B5A"/>
    <w:rsid w:val="00E3123D"/>
    <w:rsid w:val="00E31461"/>
    <w:rsid w:val="00E31D43"/>
    <w:rsid w:val="00E32608"/>
    <w:rsid w:val="00E34188"/>
    <w:rsid w:val="00E34B6E"/>
    <w:rsid w:val="00E35559"/>
    <w:rsid w:val="00E3723A"/>
    <w:rsid w:val="00E37860"/>
    <w:rsid w:val="00E446F1"/>
    <w:rsid w:val="00E46886"/>
    <w:rsid w:val="00E47255"/>
    <w:rsid w:val="00E47AEF"/>
    <w:rsid w:val="00E50CF4"/>
    <w:rsid w:val="00E534EB"/>
    <w:rsid w:val="00E53B75"/>
    <w:rsid w:val="00E54E3B"/>
    <w:rsid w:val="00E57565"/>
    <w:rsid w:val="00E61EEB"/>
    <w:rsid w:val="00E63838"/>
    <w:rsid w:val="00E64434"/>
    <w:rsid w:val="00E67C51"/>
    <w:rsid w:val="00E7151D"/>
    <w:rsid w:val="00E72EFC"/>
    <w:rsid w:val="00E758EC"/>
    <w:rsid w:val="00E7618B"/>
    <w:rsid w:val="00E77464"/>
    <w:rsid w:val="00E77A26"/>
    <w:rsid w:val="00E820C1"/>
    <w:rsid w:val="00E8234C"/>
    <w:rsid w:val="00E83AA9"/>
    <w:rsid w:val="00E85928"/>
    <w:rsid w:val="00E85B14"/>
    <w:rsid w:val="00E87822"/>
    <w:rsid w:val="00E90395"/>
    <w:rsid w:val="00E90E49"/>
    <w:rsid w:val="00E917F9"/>
    <w:rsid w:val="00E9291C"/>
    <w:rsid w:val="00E93985"/>
    <w:rsid w:val="00E93FFE"/>
    <w:rsid w:val="00E94F8A"/>
    <w:rsid w:val="00EA0711"/>
    <w:rsid w:val="00EA2469"/>
    <w:rsid w:val="00EA253D"/>
    <w:rsid w:val="00EA41BD"/>
    <w:rsid w:val="00EA6588"/>
    <w:rsid w:val="00EA7A41"/>
    <w:rsid w:val="00EB077B"/>
    <w:rsid w:val="00EB2222"/>
    <w:rsid w:val="00EB2F5D"/>
    <w:rsid w:val="00EB4335"/>
    <w:rsid w:val="00EB4EA2"/>
    <w:rsid w:val="00EB6D15"/>
    <w:rsid w:val="00EC24D5"/>
    <w:rsid w:val="00EC27C6"/>
    <w:rsid w:val="00EC4207"/>
    <w:rsid w:val="00EC4447"/>
    <w:rsid w:val="00EC5653"/>
    <w:rsid w:val="00EC71CE"/>
    <w:rsid w:val="00ED1006"/>
    <w:rsid w:val="00ED5E04"/>
    <w:rsid w:val="00EE789C"/>
    <w:rsid w:val="00EF18FE"/>
    <w:rsid w:val="00EF5787"/>
    <w:rsid w:val="00EF60D0"/>
    <w:rsid w:val="00F04AB6"/>
    <w:rsid w:val="00F0528D"/>
    <w:rsid w:val="00F06C67"/>
    <w:rsid w:val="00F06DFD"/>
    <w:rsid w:val="00F071D1"/>
    <w:rsid w:val="00F0732F"/>
    <w:rsid w:val="00F07533"/>
    <w:rsid w:val="00F10629"/>
    <w:rsid w:val="00F12E91"/>
    <w:rsid w:val="00F15FA5"/>
    <w:rsid w:val="00F209B7"/>
    <w:rsid w:val="00F2376F"/>
    <w:rsid w:val="00F243D8"/>
    <w:rsid w:val="00F30828"/>
    <w:rsid w:val="00F313D6"/>
    <w:rsid w:val="00F33849"/>
    <w:rsid w:val="00F36C4C"/>
    <w:rsid w:val="00F40F0C"/>
    <w:rsid w:val="00F43456"/>
    <w:rsid w:val="00F4746B"/>
    <w:rsid w:val="00F4766C"/>
    <w:rsid w:val="00F5060E"/>
    <w:rsid w:val="00F507D1"/>
    <w:rsid w:val="00F519CE"/>
    <w:rsid w:val="00F51ADA"/>
    <w:rsid w:val="00F541FD"/>
    <w:rsid w:val="00F60203"/>
    <w:rsid w:val="00F607C5"/>
    <w:rsid w:val="00F60DEA"/>
    <w:rsid w:val="00F6302A"/>
    <w:rsid w:val="00F63950"/>
    <w:rsid w:val="00F64C2B"/>
    <w:rsid w:val="00F6516D"/>
    <w:rsid w:val="00F651BE"/>
    <w:rsid w:val="00F670CF"/>
    <w:rsid w:val="00F67F53"/>
    <w:rsid w:val="00F703BE"/>
    <w:rsid w:val="00F71F69"/>
    <w:rsid w:val="00F72A21"/>
    <w:rsid w:val="00F72B72"/>
    <w:rsid w:val="00F74BB9"/>
    <w:rsid w:val="00F75582"/>
    <w:rsid w:val="00F76EFA"/>
    <w:rsid w:val="00F804BE"/>
    <w:rsid w:val="00F806C9"/>
    <w:rsid w:val="00F817CE"/>
    <w:rsid w:val="00F8456C"/>
    <w:rsid w:val="00F859D8"/>
    <w:rsid w:val="00F868F5"/>
    <w:rsid w:val="00F9056A"/>
    <w:rsid w:val="00F90F8D"/>
    <w:rsid w:val="00F9204C"/>
    <w:rsid w:val="00F92782"/>
    <w:rsid w:val="00F93AA9"/>
    <w:rsid w:val="00F95F1D"/>
    <w:rsid w:val="00F96985"/>
    <w:rsid w:val="00F97838"/>
    <w:rsid w:val="00FA2BB3"/>
    <w:rsid w:val="00FB1C57"/>
    <w:rsid w:val="00FB3747"/>
    <w:rsid w:val="00FB4C80"/>
    <w:rsid w:val="00FB6A6A"/>
    <w:rsid w:val="00FC44BF"/>
    <w:rsid w:val="00FC7429"/>
    <w:rsid w:val="00FD07F6"/>
    <w:rsid w:val="00FD1EC8"/>
    <w:rsid w:val="00FD47ED"/>
    <w:rsid w:val="00FD74DB"/>
    <w:rsid w:val="00FD7660"/>
    <w:rsid w:val="00FE0655"/>
    <w:rsid w:val="00FE2365"/>
    <w:rsid w:val="00FE2CD4"/>
    <w:rsid w:val="00FE37D7"/>
    <w:rsid w:val="00FE4C7B"/>
    <w:rsid w:val="00FE4F24"/>
    <w:rsid w:val="00FE7336"/>
    <w:rsid w:val="00FE787C"/>
    <w:rsid w:val="00FF45A5"/>
    <w:rsid w:val="00FF4F1F"/>
    <w:rsid w:val="00FF4F77"/>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27837"/>
  <w15:chartTrackingRefBased/>
  <w15:docId w15:val="{0FCCD71F-B746-463B-8145-71C851000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BFC30-FD11-4F6E-9B7B-74FF0A77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55C4707-C02F-A846-BFDD-2D45ED75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1511</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Enbuske</cp:lastModifiedBy>
  <cp:revision>186</cp:revision>
  <cp:lastPrinted>2008-01-31T07:09:00Z</cp:lastPrinted>
  <dcterms:created xsi:type="dcterms:W3CDTF">2020-01-29T08:47:00Z</dcterms:created>
  <dcterms:modified xsi:type="dcterms:W3CDTF">2020-02-13T19:22:00Z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